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9778"/>
      </w:tblGrid>
      <w:tr w:rsidR="003E413E" w:rsidTr="00582BBA">
        <w:tc>
          <w:tcPr>
            <w:tcW w:w="9778" w:type="dxa"/>
            <w:tcBorders>
              <w:top w:val="double" w:sz="6" w:space="0" w:color="auto"/>
              <w:left w:val="double" w:sz="6" w:space="0" w:color="auto"/>
              <w:bottom w:val="single" w:sz="6" w:space="0" w:color="auto"/>
              <w:right w:val="double" w:sz="6" w:space="0" w:color="auto"/>
            </w:tcBorders>
          </w:tcPr>
          <w:p w:rsidR="003E413E" w:rsidRDefault="003E413E" w:rsidP="00582BBA">
            <w:pPr>
              <w:pStyle w:val="Titolo3"/>
              <w:ind w:left="-142" w:right="-77"/>
              <w:jc w:val="center"/>
              <w:rPr>
                <w:rFonts w:ascii="Footlight MT Light" w:hAnsi="Footlight MT Light"/>
                <w:b w:val="0"/>
              </w:rPr>
            </w:pPr>
            <w:r>
              <w:rPr>
                <w:noProof/>
              </w:rPr>
              <w:drawing>
                <wp:inline distT="0" distB="0" distL="0" distR="0">
                  <wp:extent cx="676275" cy="962025"/>
                  <wp:effectExtent l="19050" t="0" r="9525" b="0"/>
                  <wp:docPr id="1" name="Immagine 1" descr="sorrad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radile"/>
                          <pic:cNvPicPr>
                            <a:picLocks noChangeAspect="1" noChangeArrowheads="1"/>
                          </pic:cNvPicPr>
                        </pic:nvPicPr>
                        <pic:blipFill>
                          <a:blip r:embed="rId7" cstate="print"/>
                          <a:srcRect/>
                          <a:stretch>
                            <a:fillRect/>
                          </a:stretch>
                        </pic:blipFill>
                        <pic:spPr bwMode="auto">
                          <a:xfrm>
                            <a:off x="0" y="0"/>
                            <a:ext cx="676275" cy="962025"/>
                          </a:xfrm>
                          <a:prstGeom prst="rect">
                            <a:avLst/>
                          </a:prstGeom>
                          <a:noFill/>
                          <a:ln w="9525">
                            <a:noFill/>
                            <a:miter lim="800000"/>
                            <a:headEnd/>
                            <a:tailEnd/>
                          </a:ln>
                        </pic:spPr>
                      </pic:pic>
                    </a:graphicData>
                  </a:graphic>
                </wp:inline>
              </w:drawing>
            </w:r>
          </w:p>
          <w:p w:rsidR="003E413E" w:rsidRDefault="003E413E" w:rsidP="00582BBA">
            <w:pPr>
              <w:pStyle w:val="Titolo3"/>
              <w:ind w:left="-142" w:right="-77"/>
              <w:jc w:val="center"/>
              <w:rPr>
                <w:rFonts w:ascii="Footlight MT Light" w:hAnsi="Footlight MT Light"/>
                <w:b w:val="0"/>
                <w:sz w:val="52"/>
              </w:rPr>
            </w:pPr>
            <w:r>
              <w:rPr>
                <w:rFonts w:ascii="Footlight MT Light" w:hAnsi="Footlight MT Light"/>
                <w:b w:val="0"/>
                <w:sz w:val="52"/>
              </w:rPr>
              <w:t>COMUNE DI SORRADILE</w:t>
            </w:r>
          </w:p>
          <w:p w:rsidR="003E413E" w:rsidRDefault="003E413E" w:rsidP="00582BBA">
            <w:pPr>
              <w:pStyle w:val="Titolo3"/>
              <w:ind w:left="-142" w:right="-77"/>
              <w:jc w:val="center"/>
              <w:rPr>
                <w:rFonts w:ascii="Footlight MT Light" w:hAnsi="Footlight MT Light"/>
                <w:b w:val="0"/>
                <w:sz w:val="52"/>
              </w:rPr>
            </w:pPr>
            <w:r>
              <w:rPr>
                <w:rFonts w:ascii="Footlight MT Light" w:hAnsi="Footlight MT Light"/>
                <w:b w:val="0"/>
              </w:rPr>
              <w:t>PROVINCIA DI ORISTANO</w:t>
            </w:r>
          </w:p>
        </w:tc>
      </w:tr>
      <w:tr w:rsidR="003E413E" w:rsidTr="00582BBA">
        <w:tc>
          <w:tcPr>
            <w:tcW w:w="9778" w:type="dxa"/>
            <w:tcBorders>
              <w:top w:val="single" w:sz="6" w:space="0" w:color="auto"/>
              <w:left w:val="double" w:sz="6" w:space="0" w:color="auto"/>
              <w:bottom w:val="single" w:sz="6" w:space="0" w:color="auto"/>
              <w:right w:val="double" w:sz="6" w:space="0" w:color="auto"/>
            </w:tcBorders>
          </w:tcPr>
          <w:p w:rsidR="003E413E" w:rsidRDefault="003E413E" w:rsidP="00582BBA">
            <w:pPr>
              <w:pStyle w:val="Titolo2"/>
              <w:spacing w:line="360" w:lineRule="auto"/>
              <w:rPr>
                <w:rFonts w:ascii="Footlight MT Light" w:hAnsi="Footlight MT Light"/>
                <w:b w:val="0"/>
                <w:sz w:val="22"/>
              </w:rPr>
            </w:pPr>
            <w:r>
              <w:rPr>
                <w:rFonts w:ascii="Footlight MT Light" w:hAnsi="Footlight MT Light"/>
                <w:b w:val="0"/>
                <w:sz w:val="22"/>
              </w:rPr>
              <w:t>C.so Umberto I , 61 09080 - Sorradile - Tel. 0783/69023 - Fax 0783/69404 - P. IVA 00691580955</w:t>
            </w:r>
          </w:p>
        </w:tc>
      </w:tr>
      <w:tr w:rsidR="003E413E" w:rsidTr="00582BBA">
        <w:tc>
          <w:tcPr>
            <w:tcW w:w="9778" w:type="dxa"/>
            <w:tcBorders>
              <w:top w:val="single" w:sz="6" w:space="0" w:color="auto"/>
              <w:left w:val="double" w:sz="6" w:space="0" w:color="auto"/>
              <w:bottom w:val="double" w:sz="6" w:space="0" w:color="auto"/>
              <w:right w:val="double" w:sz="6" w:space="0" w:color="auto"/>
            </w:tcBorders>
          </w:tcPr>
          <w:p w:rsidR="003E413E" w:rsidRDefault="003E413E" w:rsidP="00582BBA">
            <w:pPr>
              <w:spacing w:line="360" w:lineRule="auto"/>
              <w:jc w:val="center"/>
              <w:rPr>
                <w:rFonts w:ascii="Footlight MT Light" w:hAnsi="Footlight MT Light"/>
                <w:b/>
                <w:sz w:val="24"/>
              </w:rPr>
            </w:pPr>
            <w:r>
              <w:rPr>
                <w:rFonts w:ascii="Footlight MT Light" w:hAnsi="Footlight MT Light"/>
                <w:b/>
              </w:rPr>
              <w:t xml:space="preserve">E-mail - </w:t>
            </w:r>
            <w:r>
              <w:rPr>
                <w:rStyle w:val="Collegamentoipertestuale1"/>
                <w:rFonts w:ascii="Footlight MT Light" w:hAnsi="Footlight MT Light"/>
                <w:sz w:val="24"/>
              </w:rPr>
              <w:t>comune.sorradile@tiscali.it</w:t>
            </w:r>
            <w:r>
              <w:rPr>
                <w:rFonts w:ascii="Footlight MT Light" w:hAnsi="Footlight MT Light"/>
                <w:b/>
                <w:sz w:val="24"/>
              </w:rPr>
              <w:t xml:space="preserve">   -  Website - comune.sorradile.or.it</w:t>
            </w:r>
          </w:p>
        </w:tc>
      </w:tr>
    </w:tbl>
    <w:p w:rsidR="00D96696" w:rsidRDefault="00D96696"/>
    <w:p w:rsidR="003E413E" w:rsidRDefault="003E413E"/>
    <w:p w:rsidR="003E413E" w:rsidRDefault="003E413E"/>
    <w:p w:rsidR="003E413E" w:rsidRDefault="003E413E"/>
    <w:p w:rsidR="003E413E" w:rsidRDefault="003E413E"/>
    <w:p w:rsidR="003E413E" w:rsidRPr="005F3BE8" w:rsidRDefault="003E413E" w:rsidP="003E413E">
      <w:pPr>
        <w:jc w:val="center"/>
        <w:rPr>
          <w:sz w:val="36"/>
          <w:szCs w:val="36"/>
        </w:rPr>
      </w:pPr>
      <w:r w:rsidRPr="005F3BE8">
        <w:rPr>
          <w:sz w:val="36"/>
          <w:szCs w:val="36"/>
        </w:rPr>
        <w:t>Nota integrativa al bilancio di previsione 2016/2018</w:t>
      </w:r>
    </w:p>
    <w:p w:rsidR="003E413E" w:rsidRDefault="003E413E" w:rsidP="003E413E">
      <w:pPr>
        <w:jc w:val="center"/>
        <w:rPr>
          <w:rFonts w:ascii="Calibri" w:hAnsi="Calibri" w:cs="Calibri"/>
          <w:color w:val="365F92"/>
          <w:sz w:val="32"/>
          <w:szCs w:val="32"/>
        </w:rPr>
      </w:pPr>
      <w:r>
        <w:rPr>
          <w:rFonts w:ascii="Calibri" w:hAnsi="Calibri" w:cs="Calibri"/>
          <w:color w:val="365F92"/>
          <w:sz w:val="32"/>
          <w:szCs w:val="32"/>
        </w:rPr>
        <w:t>D. Lgs. 23 giugno 2011, n. 118 e DPCM 28 dicembre 2011</w:t>
      </w: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lastRenderedPageBreak/>
        <w:t>NOTA INTEGRATIVA AL BILANCIO DI PREVISIONE 2016-2018</w:t>
      </w:r>
    </w:p>
    <w:p w:rsidR="003E413E" w:rsidRDefault="003E413E" w:rsidP="003E413E">
      <w:pPr>
        <w:autoSpaceDE w:val="0"/>
        <w:autoSpaceDN w:val="0"/>
        <w:adjustRightInd w:val="0"/>
        <w:spacing w:after="0" w:line="240" w:lineRule="auto"/>
        <w:rPr>
          <w:rFonts w:ascii="Times New Roman" w:hAnsi="Times New Roman" w:cs="Times New Roman"/>
          <w:b/>
          <w:bCs/>
          <w:sz w:val="24"/>
          <w:szCs w:val="24"/>
        </w:rPr>
      </w:pPr>
    </w:p>
    <w:p w:rsidR="003E413E" w:rsidRDefault="003E413E" w:rsidP="003E413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Premesse</w:t>
      </w:r>
    </w:p>
    <w:p w:rsidR="003E413E" w:rsidRDefault="003E413E" w:rsidP="003E41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Il  Comune di Sorradile</w:t>
      </w:r>
      <w:r w:rsidR="000C5DEF">
        <w:rPr>
          <w:rFonts w:ascii="Times New Roman" w:hAnsi="Times New Roman" w:cs="Times New Roman"/>
          <w:sz w:val="24"/>
          <w:szCs w:val="24"/>
        </w:rPr>
        <w:t xml:space="preserve"> non ha partecipato </w:t>
      </w:r>
      <w:r w:rsidRPr="006A4B29">
        <w:rPr>
          <w:rFonts w:ascii="Times New Roman" w:hAnsi="Times New Roman" w:cs="Times New Roman"/>
          <w:sz w:val="24"/>
          <w:szCs w:val="24"/>
          <w:highlight w:val="yellow"/>
        </w:rPr>
        <w:t xml:space="preserve"> alla  sperimentazione di cui all’art. 36 del D.lgs. 23.6.2011, n. 118, in materia di armonizzazione</w:t>
      </w:r>
      <w:r>
        <w:rPr>
          <w:rFonts w:ascii="Times New Roman" w:hAnsi="Times New Roman" w:cs="Times New Roman"/>
          <w:sz w:val="24"/>
          <w:szCs w:val="24"/>
        </w:rPr>
        <w:t xml:space="preserve"> dei sistemi contabili e degli schemi di bilancio degli enti locali.</w:t>
      </w:r>
    </w:p>
    <w:p w:rsidR="003E413E" w:rsidRDefault="003E413E" w:rsidP="003E41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L’art. 2, comma 2, del DPCM 28.12.2011 “Sperimentazione della disciplina concernente i sistemi contabili e gli schemi di bilancio delle Regioni, degli enti locali e dei loro enti ed organismi, di cui all’articolo 36 del decreto legislativo 23 giugno 2011 n. 118” stabilisce che le disposizioni riguardanti la sperimentazione sono applicate in via esclusiva, in sostituzione di quelle previste nel sistema contabile previgente, con particolare riguardo al principio contabile della competenza finanziaria potenziato. In forza di tale principio, le obbligazioni attive e passive giuridicamente perfezionate sono registrate nelle scritture contabili nel momento in cui l’obbligazione sorge, ma sono imputate all’esercizio nel quale vengono a scadenza (ossia nell’anno in cui sono esigibili).</w:t>
      </w:r>
    </w:p>
    <w:p w:rsidR="003E413E" w:rsidRDefault="003E413E" w:rsidP="003E41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struttura del bilancio ai sensi del D.Lgs118  è visibilmente più sintetica rispetto allo schema previgente.</w:t>
      </w:r>
    </w:p>
    <w:p w:rsidR="003E413E" w:rsidRDefault="003E413E" w:rsidP="003E41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spesa è articolata in missioni, programmi e titoli, sostituendo la precedente struttura per titoli, funzioni, servizi e interventi.</w:t>
      </w:r>
    </w:p>
    <w:p w:rsidR="003E413E" w:rsidRDefault="003E413E" w:rsidP="003E41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L’elencazione di missioni e programmi non è a discrezione dell’Ente, bensì è tassativamente definita dalla normativa, diversamente dai programmi contenuti nel bilancio ex DPR 194/1996, che potevano essere scelti dal Comune, in funzione delle priorità delineate nelle linee programmatiche di mandato.</w:t>
      </w:r>
    </w:p>
    <w:p w:rsidR="003E413E" w:rsidRDefault="003E413E" w:rsidP="003E41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Quanto alle entrate, la tradizionale classificazione per titoli, categorie e risorse è stata sostituita nella nuova contabilità dall’elencazione di titoli e tipologie.</w:t>
      </w:r>
    </w:p>
    <w:p w:rsidR="003E413E" w:rsidRDefault="003E413E" w:rsidP="006A4B29">
      <w:pPr>
        <w:autoSpaceDE w:val="0"/>
        <w:autoSpaceDN w:val="0"/>
        <w:adjustRightInd w:val="0"/>
        <w:spacing w:after="0" w:line="240" w:lineRule="auto"/>
        <w:jc w:val="both"/>
        <w:rPr>
          <w:rFonts w:ascii="Calibri" w:hAnsi="Calibri" w:cs="Calibri"/>
          <w:color w:val="365F92"/>
          <w:sz w:val="32"/>
          <w:szCs w:val="32"/>
        </w:rPr>
      </w:pPr>
      <w:r>
        <w:rPr>
          <w:rFonts w:ascii="Times New Roman" w:hAnsi="Times New Roman" w:cs="Times New Roman"/>
          <w:sz w:val="24"/>
          <w:szCs w:val="24"/>
        </w:rPr>
        <w:t>Stante il livello di estrema sintesi del bilancio ai sensi del D.Lgs., al documento è allegata una serie di prospetti, con l’obiettivo di ampliare la</w:t>
      </w:r>
      <w:r w:rsidR="006A4B29">
        <w:rPr>
          <w:rFonts w:ascii="Times New Roman" w:hAnsi="Times New Roman" w:cs="Times New Roman"/>
          <w:sz w:val="24"/>
          <w:szCs w:val="24"/>
        </w:rPr>
        <w:t xml:space="preserve"> </w:t>
      </w:r>
      <w:r>
        <w:rPr>
          <w:rFonts w:ascii="Times New Roman" w:hAnsi="Times New Roman" w:cs="Times New Roman"/>
          <w:sz w:val="24"/>
          <w:szCs w:val="24"/>
        </w:rPr>
        <w:t>capacità informativa della documentazione.</w:t>
      </w:r>
    </w:p>
    <w:p w:rsidR="006A4B29" w:rsidRDefault="006A4B29" w:rsidP="006A4B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Tra i principali prospetti si segnalano: le entrate per titoli, tipologie e categorie; le spese per missioni, programmi e macroaggregati;</w:t>
      </w:r>
    </w:p>
    <w:p w:rsidR="006A4B29" w:rsidRDefault="006A4B29" w:rsidP="006A4B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l’elenco delle previsioni secondo la struttura del livello IV del piano dei conti finanziario.</w:t>
      </w:r>
    </w:p>
    <w:p w:rsidR="006A4B29" w:rsidRDefault="006A4B29" w:rsidP="006A4B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 precisa, tuttavia, che tali livelli di ulteriore dettaglio rientrano nella sfera di competenza della Giunta (macroaggregati) o dei dirigenti (articolazione di entrate e spese al livello IV del piano dei conti finanziario).</w:t>
      </w:r>
    </w:p>
    <w:p w:rsidR="006A4B29" w:rsidRDefault="006A4B29" w:rsidP="006A4B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Ai sensi degli articoli 13 e 15 del decreto legislativo 23/6/2011 n. 118 l’unità di voto elementare da parte del Consiglio è infatti rappresentata dalla tipologia in entrata e dal programma in spesa.</w:t>
      </w:r>
    </w:p>
    <w:p w:rsidR="006A4B29" w:rsidRDefault="006A4B29" w:rsidP="006A4B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Pertanto, fermo restando il totale per tipologia di entrata e programma di spesa, la disaggregazione degli stanziamenti potrà differire dagli importi evidenziati nei prospetti informativi di dettaglio.</w:t>
      </w:r>
    </w:p>
    <w:p w:rsidR="006A4B29" w:rsidRDefault="006A4B29" w:rsidP="006A4B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Inoltre, il bilancio sperimentale affianca ai dati di competenza anche le previsioni di cassa, a differenza dello schema previgente, in cui i dati di cassa erano riportati solo a consuntivo, senza alcun riferimento alle previsioni.</w:t>
      </w:r>
    </w:p>
    <w:p w:rsidR="006A4B29" w:rsidRDefault="006A4B29" w:rsidP="006A4B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principali novità della c.d. “contabilità armonizzata” sono:</w:t>
      </w:r>
    </w:p>
    <w:p w:rsidR="006A4B29" w:rsidRDefault="006A4B29" w:rsidP="006A4B29">
      <w:pPr>
        <w:autoSpaceDE w:val="0"/>
        <w:autoSpaceDN w:val="0"/>
        <w:adjustRightInd w:val="0"/>
        <w:spacing w:after="0" w:line="240" w:lineRule="auto"/>
        <w:jc w:val="both"/>
        <w:rPr>
          <w:rFonts w:ascii="Times New Roman" w:hAnsi="Times New Roman" w:cs="Times New Roman"/>
          <w:sz w:val="24"/>
          <w:szCs w:val="24"/>
        </w:rPr>
      </w:pPr>
      <w:r w:rsidRPr="000C5DEF">
        <w:rPr>
          <w:rFonts w:ascii="Times New Roman" w:hAnsi="Times New Roman" w:cs="Times New Roman"/>
          <w:b/>
          <w:sz w:val="24"/>
          <w:szCs w:val="24"/>
        </w:rPr>
        <w:t>1. Il principio della competenza finanziaria “rafforzata</w:t>
      </w:r>
      <w:r>
        <w:rPr>
          <w:rFonts w:ascii="Times New Roman" w:hAnsi="Times New Roman" w:cs="Times New Roman"/>
          <w:sz w:val="24"/>
          <w:szCs w:val="24"/>
        </w:rPr>
        <w:t>”;</w:t>
      </w:r>
    </w:p>
    <w:p w:rsidR="006A4B29" w:rsidRDefault="006A4B29" w:rsidP="000C5DEF">
      <w:pPr>
        <w:autoSpaceDE w:val="0"/>
        <w:autoSpaceDN w:val="0"/>
        <w:adjustRightInd w:val="0"/>
        <w:spacing w:after="0" w:line="240" w:lineRule="auto"/>
        <w:jc w:val="both"/>
        <w:rPr>
          <w:rFonts w:ascii="Times New Roman" w:hAnsi="Times New Roman" w:cs="Times New Roman"/>
          <w:sz w:val="24"/>
          <w:szCs w:val="24"/>
        </w:rPr>
      </w:pPr>
      <w:r w:rsidRPr="000C5DEF">
        <w:rPr>
          <w:rFonts w:ascii="Times New Roman" w:hAnsi="Times New Roman" w:cs="Times New Roman"/>
          <w:b/>
          <w:sz w:val="24"/>
          <w:szCs w:val="24"/>
        </w:rPr>
        <w:t>2. Il fondo crediti di dubbia esigibilità</w:t>
      </w:r>
      <w:r>
        <w:rPr>
          <w:rFonts w:ascii="Times New Roman" w:hAnsi="Times New Roman" w:cs="Times New Roman"/>
          <w:sz w:val="24"/>
          <w:szCs w:val="24"/>
        </w:rPr>
        <w:t>: non è più possibile “accertare per cassa”. La prassi di prudenza che consisteva nel considerare accertate alcune tipologie di entrata, solo quando si manifestava il materiale introito non sarà più praticabile. Occorre dunque, al fine di dare completa manifestazione dei crediti vantati dall’amministrazione, procedere al pieno accertamento delle entrate, ogni qual volta se ne manifestino i requisiti. E’ evidente che così facendo risulteranno accertate anche entrate di “dubbia e/o difficile esazione”, quindi la nuova contabilità obbliga ad effettuare degli accantonamenti all’apposito “fondo crediti di dubbia esigibilità” . Successivamente si riprenderà la trattazione del fondo e si evidenzieranno le modalità con cui è stato determinato nel bilancio 201</w:t>
      </w:r>
      <w:r w:rsidR="000C5DEF">
        <w:rPr>
          <w:rFonts w:ascii="Times New Roman" w:hAnsi="Times New Roman" w:cs="Times New Roman"/>
          <w:sz w:val="24"/>
          <w:szCs w:val="24"/>
        </w:rPr>
        <w:t>6</w:t>
      </w:r>
      <w:r>
        <w:rPr>
          <w:rFonts w:ascii="Times New Roman" w:hAnsi="Times New Roman" w:cs="Times New Roman"/>
          <w:sz w:val="24"/>
          <w:szCs w:val="24"/>
        </w:rPr>
        <w:t>/201</w:t>
      </w:r>
      <w:r w:rsidR="000C5DEF">
        <w:rPr>
          <w:rFonts w:ascii="Times New Roman" w:hAnsi="Times New Roman" w:cs="Times New Roman"/>
          <w:sz w:val="24"/>
          <w:szCs w:val="24"/>
        </w:rPr>
        <w:t>8</w:t>
      </w:r>
      <w:r>
        <w:rPr>
          <w:rFonts w:ascii="Times New Roman" w:hAnsi="Times New Roman" w:cs="Times New Roman"/>
          <w:sz w:val="24"/>
          <w:szCs w:val="24"/>
        </w:rPr>
        <w:t xml:space="preserve"> l’ammontare</w:t>
      </w:r>
      <w:r w:rsidR="000C5DEF">
        <w:rPr>
          <w:rFonts w:ascii="Times New Roman" w:hAnsi="Times New Roman" w:cs="Times New Roman"/>
          <w:sz w:val="24"/>
          <w:szCs w:val="24"/>
        </w:rPr>
        <w:t xml:space="preserve"> </w:t>
      </w:r>
      <w:r>
        <w:rPr>
          <w:rFonts w:ascii="Times New Roman" w:hAnsi="Times New Roman" w:cs="Times New Roman"/>
          <w:sz w:val="24"/>
          <w:szCs w:val="24"/>
        </w:rPr>
        <w:t>dell’accantonamento effettuato al fondo crediti di dubbia esigibilità;</w:t>
      </w:r>
    </w:p>
    <w:p w:rsidR="006A4B29" w:rsidRDefault="006A4B29" w:rsidP="000C5DEF">
      <w:pPr>
        <w:autoSpaceDE w:val="0"/>
        <w:autoSpaceDN w:val="0"/>
        <w:adjustRightInd w:val="0"/>
        <w:spacing w:after="0" w:line="240" w:lineRule="auto"/>
        <w:jc w:val="both"/>
        <w:rPr>
          <w:rFonts w:ascii="Times New Roman" w:hAnsi="Times New Roman" w:cs="Times New Roman"/>
          <w:sz w:val="24"/>
          <w:szCs w:val="24"/>
        </w:rPr>
      </w:pPr>
      <w:r w:rsidRPr="000C5DEF">
        <w:rPr>
          <w:rFonts w:ascii="Times New Roman" w:hAnsi="Times New Roman" w:cs="Times New Roman"/>
          <w:b/>
          <w:sz w:val="24"/>
          <w:szCs w:val="24"/>
        </w:rPr>
        <w:lastRenderedPageBreak/>
        <w:t>3. Il fondo pluriennale vincolato (FPV</w:t>
      </w:r>
      <w:r>
        <w:rPr>
          <w:rFonts w:ascii="Times New Roman" w:hAnsi="Times New Roman" w:cs="Times New Roman"/>
          <w:sz w:val="24"/>
          <w:szCs w:val="24"/>
        </w:rPr>
        <w:t xml:space="preserve">). Per una corretta lettura dei dati di bilancio è opportuno </w:t>
      </w:r>
      <w:r w:rsidR="000C5DEF">
        <w:rPr>
          <w:rFonts w:ascii="Times New Roman" w:hAnsi="Times New Roman" w:cs="Times New Roman"/>
          <w:sz w:val="24"/>
          <w:szCs w:val="24"/>
        </w:rPr>
        <w:t xml:space="preserve"> </w:t>
      </w:r>
      <w:r>
        <w:rPr>
          <w:rFonts w:ascii="Times New Roman" w:hAnsi="Times New Roman" w:cs="Times New Roman"/>
          <w:sz w:val="24"/>
          <w:szCs w:val="24"/>
        </w:rPr>
        <w:t>riportare alcune informazioni in</w:t>
      </w:r>
      <w:r w:rsidR="000C5DEF">
        <w:rPr>
          <w:rFonts w:ascii="Times New Roman" w:hAnsi="Times New Roman" w:cs="Times New Roman"/>
          <w:sz w:val="24"/>
          <w:szCs w:val="24"/>
        </w:rPr>
        <w:t xml:space="preserve"> </w:t>
      </w:r>
      <w:r>
        <w:rPr>
          <w:rFonts w:ascii="Times New Roman" w:hAnsi="Times New Roman" w:cs="Times New Roman"/>
          <w:sz w:val="24"/>
          <w:szCs w:val="24"/>
        </w:rPr>
        <w:t>merito a tale fondo, elemento che più di ogni altro rende evidente le profonde innovazioni derivanti dall’applicazione del nuovo</w:t>
      </w:r>
      <w:r w:rsidR="000C5DEF">
        <w:rPr>
          <w:rFonts w:ascii="Times New Roman" w:hAnsi="Times New Roman" w:cs="Times New Roman"/>
          <w:sz w:val="24"/>
          <w:szCs w:val="24"/>
        </w:rPr>
        <w:t xml:space="preserve"> </w:t>
      </w:r>
      <w:r>
        <w:rPr>
          <w:rFonts w:ascii="Times New Roman" w:hAnsi="Times New Roman" w:cs="Times New Roman"/>
          <w:sz w:val="24"/>
          <w:szCs w:val="24"/>
        </w:rPr>
        <w:t>principio di competenza finanziaria potenziato.</w:t>
      </w:r>
    </w:p>
    <w:p w:rsidR="006A4B29" w:rsidRDefault="006A4B29" w:rsidP="000C5D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Come riportato nel principio applicato della competenza finanziaria, il FPV è un saldo finanziario, costituito da risorse già accertate in</w:t>
      </w:r>
      <w:r w:rsidR="000C5DEF">
        <w:rPr>
          <w:rFonts w:ascii="Times New Roman" w:hAnsi="Times New Roman" w:cs="Times New Roman"/>
          <w:sz w:val="24"/>
          <w:szCs w:val="24"/>
        </w:rPr>
        <w:t xml:space="preserve"> </w:t>
      </w:r>
      <w:r>
        <w:rPr>
          <w:rFonts w:ascii="Times New Roman" w:hAnsi="Times New Roman" w:cs="Times New Roman"/>
          <w:sz w:val="24"/>
          <w:szCs w:val="24"/>
        </w:rPr>
        <w:t>esercizi precedenti destinate al finanziamento di obbligazioni passive dell’ente già impegnate, ma esigibili in esercizi successivi a</w:t>
      </w:r>
      <w:r w:rsidR="000C5DEF">
        <w:rPr>
          <w:rFonts w:ascii="Times New Roman" w:hAnsi="Times New Roman" w:cs="Times New Roman"/>
          <w:sz w:val="24"/>
          <w:szCs w:val="24"/>
        </w:rPr>
        <w:t xml:space="preserve"> </w:t>
      </w:r>
      <w:r>
        <w:rPr>
          <w:rFonts w:ascii="Times New Roman" w:hAnsi="Times New Roman" w:cs="Times New Roman"/>
          <w:sz w:val="24"/>
          <w:szCs w:val="24"/>
        </w:rPr>
        <w:t>quello in cui è accertata l’entrata.</w:t>
      </w:r>
    </w:p>
    <w:p w:rsidR="006A4B29" w:rsidRDefault="006A4B29" w:rsidP="000C5D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fondo garantisce la copertura di spese imputate agli esercizi successivi a quello di assunzione e nasce dall’esigenza di applicare il</w:t>
      </w:r>
      <w:r w:rsidR="000C5DEF">
        <w:rPr>
          <w:rFonts w:ascii="Times New Roman" w:hAnsi="Times New Roman" w:cs="Times New Roman"/>
          <w:sz w:val="24"/>
          <w:szCs w:val="24"/>
        </w:rPr>
        <w:t xml:space="preserve"> </w:t>
      </w:r>
      <w:r>
        <w:rPr>
          <w:rFonts w:ascii="Times New Roman" w:hAnsi="Times New Roman" w:cs="Times New Roman"/>
          <w:sz w:val="24"/>
          <w:szCs w:val="24"/>
        </w:rPr>
        <w:t>principio della competenza finanziaria potenziato, rendendo evidente la distanza temporale intercorrente tra l’acquisizione dei</w:t>
      </w:r>
      <w:r w:rsidR="000C5DEF">
        <w:rPr>
          <w:rFonts w:ascii="Times New Roman" w:hAnsi="Times New Roman" w:cs="Times New Roman"/>
          <w:sz w:val="24"/>
          <w:szCs w:val="24"/>
        </w:rPr>
        <w:t xml:space="preserve"> </w:t>
      </w:r>
      <w:r>
        <w:rPr>
          <w:rFonts w:ascii="Times New Roman" w:hAnsi="Times New Roman" w:cs="Times New Roman"/>
          <w:sz w:val="24"/>
          <w:szCs w:val="24"/>
        </w:rPr>
        <w:t>finanziamenti e l’effettivo impiego di tali risorse.</w:t>
      </w:r>
    </w:p>
    <w:p w:rsidR="003E413E" w:rsidRDefault="006A4B29" w:rsidP="000C5D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fondo riguarda prevalentemente le spese in conto capitale, ma può essere destinato a garantire la copertura di spese correnti, ad</w:t>
      </w:r>
      <w:r w:rsidR="000C5DEF">
        <w:rPr>
          <w:rFonts w:ascii="Times New Roman" w:hAnsi="Times New Roman" w:cs="Times New Roman"/>
          <w:sz w:val="24"/>
          <w:szCs w:val="24"/>
        </w:rPr>
        <w:t xml:space="preserve"> </w:t>
      </w:r>
      <w:r>
        <w:rPr>
          <w:rFonts w:ascii="Times New Roman" w:hAnsi="Times New Roman" w:cs="Times New Roman"/>
          <w:sz w:val="24"/>
          <w:szCs w:val="24"/>
        </w:rPr>
        <w:t>esempio – ma non esclusivamente - per quelle impegnate a fronte di entrate derivanti da trasferimenti correnti vincolati, esigibili in</w:t>
      </w:r>
      <w:r w:rsidR="000C5DEF">
        <w:rPr>
          <w:rFonts w:ascii="Times New Roman" w:hAnsi="Times New Roman" w:cs="Times New Roman"/>
          <w:sz w:val="24"/>
          <w:szCs w:val="24"/>
        </w:rPr>
        <w:t xml:space="preserve"> </w:t>
      </w:r>
      <w:r>
        <w:rPr>
          <w:rFonts w:ascii="Times New Roman" w:hAnsi="Times New Roman" w:cs="Times New Roman"/>
          <w:sz w:val="24"/>
          <w:szCs w:val="24"/>
        </w:rPr>
        <w:t>esercizi precedenti a quelli in cui è esigibile la corrispondente spesa.</w:t>
      </w:r>
    </w:p>
    <w:p w:rsidR="000C5DEF" w:rsidRDefault="000C5DEF" w:rsidP="000C5D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Sugli stanziamenti di spesa intestati ai singoli fondi pluriennali vincolati non è possibile assumere impegni ed effettuare pagamenti.</w:t>
      </w:r>
    </w:p>
    <w:p w:rsidR="000C5DEF" w:rsidRDefault="000C5DEF" w:rsidP="000C5D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fondo pluriennale è immediatamente utilizzabile, a seguito dell’accertamento delle entrate che lo finanziano, ed è possibile procedere all’impegno delle spese esigibili nell’esercizio in corso (la cui copertura è costituita dalle entrate accertate nello stesso esercizio finanziario), nonchè all’impegno delle spese esigibili negli esercizi successivi (la cui copertura è effettuata dal fondo).</w:t>
      </w:r>
    </w:p>
    <w:p w:rsidR="000C5DEF" w:rsidRDefault="000C5DEF" w:rsidP="000C5D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altre parole, il principio della competenza potenziata prevede che il fondo pluriennale vincolato sia uno strumento di rappresentazione della programmazione e previsione delle spese, sia correnti che di investimento, che evidenzi con trasparenza e attendibilità il procedimento di impiego delle risorse acquisite dall’Ente che richiedono un periodo di tempo pluriennale per il loro effettivo impiego e utilizzo per le finalità programmate.</w:t>
      </w:r>
    </w:p>
    <w:p w:rsidR="000C5DEF" w:rsidRDefault="000C5DEF" w:rsidP="000C5D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fase di previsione, il fondo pluriennale vincolato stanziato tra le spese è costituito da due componenti logicamente distinte:</w:t>
      </w:r>
    </w:p>
    <w:p w:rsidR="000C5DEF" w:rsidRDefault="000C5DEF" w:rsidP="000C5DEF">
      <w:pPr>
        <w:autoSpaceDE w:val="0"/>
        <w:autoSpaceDN w:val="0"/>
        <w:adjustRightInd w:val="0"/>
        <w:spacing w:after="0" w:line="240" w:lineRule="auto"/>
        <w:jc w:val="both"/>
        <w:rPr>
          <w:rFonts w:ascii="Times New Roman" w:hAnsi="Times New Roman" w:cs="Times New Roman"/>
          <w:sz w:val="24"/>
          <w:szCs w:val="24"/>
        </w:rPr>
      </w:pPr>
      <w:r w:rsidRPr="000C5DEF">
        <w:rPr>
          <w:rFonts w:ascii="Times New Roman" w:hAnsi="Times New Roman" w:cs="Times New Roman"/>
          <w:sz w:val="24"/>
          <w:szCs w:val="24"/>
          <w:u w:val="single"/>
        </w:rPr>
        <w:t>- la quota di risorse accertate negli esercizi precedenti</w:t>
      </w:r>
      <w:r>
        <w:rPr>
          <w:rFonts w:ascii="Times New Roman" w:hAnsi="Times New Roman" w:cs="Times New Roman"/>
          <w:sz w:val="24"/>
          <w:szCs w:val="24"/>
        </w:rPr>
        <w:t xml:space="preserve"> che costituiscono la copertura di spese già impegnate negli esercizi precedenti a quello cui si riferisce il bilancio e imputate agli esercizi successivi;</w:t>
      </w:r>
    </w:p>
    <w:p w:rsidR="000C5DEF" w:rsidRDefault="000C5DEF" w:rsidP="000C5DEF">
      <w:pPr>
        <w:autoSpaceDE w:val="0"/>
        <w:autoSpaceDN w:val="0"/>
        <w:adjustRightInd w:val="0"/>
        <w:spacing w:after="0" w:line="240" w:lineRule="auto"/>
        <w:jc w:val="both"/>
        <w:rPr>
          <w:rFonts w:ascii="Times New Roman" w:hAnsi="Times New Roman" w:cs="Times New Roman"/>
          <w:sz w:val="24"/>
          <w:szCs w:val="24"/>
        </w:rPr>
      </w:pPr>
      <w:r w:rsidRPr="000C5DEF">
        <w:rPr>
          <w:rFonts w:ascii="Times New Roman" w:hAnsi="Times New Roman" w:cs="Times New Roman"/>
          <w:sz w:val="24"/>
          <w:szCs w:val="24"/>
          <w:u w:val="single"/>
        </w:rPr>
        <w:t>- le risorse che si prevede di accertare nel corso dell’esercizio</w:t>
      </w:r>
      <w:r>
        <w:rPr>
          <w:rFonts w:ascii="Times New Roman" w:hAnsi="Times New Roman" w:cs="Times New Roman"/>
          <w:sz w:val="24"/>
          <w:szCs w:val="24"/>
        </w:rPr>
        <w:t>, destinate a costituire la copertura di spese che si prevede di impegnare nel corso dell’esercizio cui si riferisce il bilancio, con imputazione agli esercizi successivi.</w:t>
      </w:r>
    </w:p>
    <w:p w:rsidR="000C5DEF" w:rsidRDefault="000C5DEF" w:rsidP="000C5D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principali finalità che si propone la nuova contabilità sono:</w:t>
      </w:r>
    </w:p>
    <w:p w:rsidR="000C5DEF" w:rsidRDefault="000C5DEF" w:rsidP="000C5DEF">
      <w:pPr>
        <w:autoSpaceDE w:val="0"/>
        <w:autoSpaceDN w:val="0"/>
        <w:adjustRightInd w:val="0"/>
        <w:spacing w:after="0" w:line="240" w:lineRule="auto"/>
        <w:jc w:val="both"/>
        <w:rPr>
          <w:rFonts w:ascii="Times New Roman" w:hAnsi="Times New Roman" w:cs="Times New Roman"/>
          <w:sz w:val="24"/>
          <w:szCs w:val="24"/>
        </w:rPr>
      </w:pPr>
      <w:r>
        <w:rPr>
          <w:rFonts w:ascii="Courier" w:hAnsi="Courier" w:cs="Courier"/>
          <w:sz w:val="24"/>
          <w:szCs w:val="24"/>
        </w:rPr>
        <w:t xml:space="preserve">- </w:t>
      </w:r>
      <w:r>
        <w:rPr>
          <w:rFonts w:ascii="Times New Roman" w:hAnsi="Times New Roman" w:cs="Times New Roman"/>
          <w:sz w:val="24"/>
          <w:szCs w:val="24"/>
        </w:rPr>
        <w:t>conoscere i debiti effettivi della PA;</w:t>
      </w:r>
    </w:p>
    <w:p w:rsidR="000C5DEF" w:rsidRDefault="000C5DEF" w:rsidP="000C5DEF">
      <w:pPr>
        <w:autoSpaceDE w:val="0"/>
        <w:autoSpaceDN w:val="0"/>
        <w:adjustRightInd w:val="0"/>
        <w:spacing w:after="0" w:line="240" w:lineRule="auto"/>
        <w:jc w:val="both"/>
        <w:rPr>
          <w:rFonts w:ascii="Times New Roman" w:hAnsi="Times New Roman" w:cs="Times New Roman"/>
          <w:sz w:val="24"/>
          <w:szCs w:val="24"/>
        </w:rPr>
      </w:pPr>
      <w:r>
        <w:rPr>
          <w:rFonts w:ascii="Courier" w:hAnsi="Courier" w:cs="Courier"/>
          <w:sz w:val="24"/>
          <w:szCs w:val="24"/>
        </w:rPr>
        <w:t xml:space="preserve">- </w:t>
      </w:r>
      <w:r>
        <w:rPr>
          <w:rFonts w:ascii="Times New Roman" w:hAnsi="Times New Roman" w:cs="Times New Roman"/>
          <w:sz w:val="24"/>
          <w:szCs w:val="24"/>
        </w:rPr>
        <w:t>evitare l’accertamento di entrate future;</w:t>
      </w:r>
    </w:p>
    <w:p w:rsidR="000C5DEF" w:rsidRDefault="000C5DEF" w:rsidP="000C5DEF">
      <w:pPr>
        <w:autoSpaceDE w:val="0"/>
        <w:autoSpaceDN w:val="0"/>
        <w:adjustRightInd w:val="0"/>
        <w:spacing w:after="0" w:line="240" w:lineRule="auto"/>
        <w:jc w:val="both"/>
        <w:rPr>
          <w:rFonts w:ascii="Times New Roman" w:hAnsi="Times New Roman" w:cs="Times New Roman"/>
          <w:sz w:val="24"/>
          <w:szCs w:val="24"/>
        </w:rPr>
      </w:pPr>
      <w:r>
        <w:rPr>
          <w:rFonts w:ascii="Courier" w:hAnsi="Courier" w:cs="Courier"/>
          <w:sz w:val="24"/>
          <w:szCs w:val="24"/>
        </w:rPr>
        <w:t xml:space="preserve">- </w:t>
      </w:r>
      <w:r>
        <w:rPr>
          <w:rFonts w:ascii="Times New Roman" w:hAnsi="Times New Roman" w:cs="Times New Roman"/>
          <w:sz w:val="24"/>
          <w:szCs w:val="24"/>
        </w:rPr>
        <w:t>evitare l’assunzione di impegni di cui non si conosce la scadenza;</w:t>
      </w:r>
    </w:p>
    <w:p w:rsidR="000C5DEF" w:rsidRDefault="000C5DEF" w:rsidP="000C5DEF">
      <w:pPr>
        <w:autoSpaceDE w:val="0"/>
        <w:autoSpaceDN w:val="0"/>
        <w:adjustRightInd w:val="0"/>
        <w:spacing w:after="0" w:line="240" w:lineRule="auto"/>
        <w:rPr>
          <w:rFonts w:ascii="Times New Roman" w:hAnsi="Times New Roman" w:cs="Times New Roman"/>
          <w:sz w:val="24"/>
          <w:szCs w:val="24"/>
        </w:rPr>
      </w:pPr>
      <w:r>
        <w:rPr>
          <w:rFonts w:ascii="Courier" w:hAnsi="Courier" w:cs="Courier"/>
          <w:sz w:val="24"/>
          <w:szCs w:val="24"/>
        </w:rPr>
        <w:t xml:space="preserve">- </w:t>
      </w:r>
      <w:r>
        <w:rPr>
          <w:rFonts w:ascii="Times New Roman" w:hAnsi="Times New Roman" w:cs="Times New Roman"/>
          <w:sz w:val="24"/>
          <w:szCs w:val="24"/>
        </w:rPr>
        <w:t>rafforzare la programmazione di bilancio;</w:t>
      </w:r>
    </w:p>
    <w:p w:rsidR="000C5DEF" w:rsidRDefault="000C5DEF" w:rsidP="000C5DEF">
      <w:pPr>
        <w:autoSpaceDE w:val="0"/>
        <w:autoSpaceDN w:val="0"/>
        <w:adjustRightInd w:val="0"/>
        <w:spacing w:after="0" w:line="240" w:lineRule="auto"/>
        <w:rPr>
          <w:rFonts w:ascii="Times New Roman" w:hAnsi="Times New Roman" w:cs="Times New Roman"/>
          <w:sz w:val="24"/>
          <w:szCs w:val="24"/>
        </w:rPr>
      </w:pPr>
      <w:r>
        <w:rPr>
          <w:rFonts w:ascii="Courier" w:hAnsi="Courier" w:cs="Courier"/>
          <w:sz w:val="24"/>
          <w:szCs w:val="24"/>
        </w:rPr>
        <w:t xml:space="preserve">- </w:t>
      </w:r>
      <w:r>
        <w:rPr>
          <w:rFonts w:ascii="Times New Roman" w:hAnsi="Times New Roman" w:cs="Times New Roman"/>
          <w:sz w:val="24"/>
          <w:szCs w:val="24"/>
        </w:rPr>
        <w:t>favorire la modulazione dei debiti secondo l’effettivo fabbisogno;</w:t>
      </w:r>
    </w:p>
    <w:p w:rsidR="000C5DEF" w:rsidRDefault="000C5DEF" w:rsidP="000C5DEF">
      <w:pPr>
        <w:autoSpaceDE w:val="0"/>
        <w:autoSpaceDN w:val="0"/>
        <w:adjustRightInd w:val="0"/>
        <w:spacing w:after="0" w:line="240" w:lineRule="auto"/>
        <w:rPr>
          <w:rFonts w:ascii="Times New Roman" w:hAnsi="Times New Roman" w:cs="Times New Roman"/>
          <w:sz w:val="24"/>
          <w:szCs w:val="24"/>
        </w:rPr>
      </w:pPr>
      <w:r>
        <w:rPr>
          <w:rFonts w:ascii="Courier" w:hAnsi="Courier" w:cs="Courier"/>
          <w:sz w:val="24"/>
          <w:szCs w:val="24"/>
        </w:rPr>
        <w:t xml:space="preserve">- </w:t>
      </w:r>
      <w:r>
        <w:rPr>
          <w:rFonts w:ascii="Times New Roman" w:hAnsi="Times New Roman" w:cs="Times New Roman"/>
          <w:sz w:val="24"/>
          <w:szCs w:val="24"/>
        </w:rPr>
        <w:t>avvicinare la competenza finanziaria alla competenza economica.</w:t>
      </w:r>
    </w:p>
    <w:p w:rsidR="000C5DEF" w:rsidRDefault="000C5DEF" w:rsidP="000C5DEF">
      <w:pPr>
        <w:autoSpaceDE w:val="0"/>
        <w:autoSpaceDN w:val="0"/>
        <w:adjustRightInd w:val="0"/>
        <w:spacing w:after="0" w:line="240" w:lineRule="auto"/>
        <w:jc w:val="both"/>
        <w:rPr>
          <w:rFonts w:ascii="Times New Roman" w:hAnsi="Times New Roman" w:cs="Times New Roman"/>
          <w:sz w:val="24"/>
          <w:szCs w:val="24"/>
        </w:rPr>
      </w:pPr>
      <w:r w:rsidRPr="000C5DEF">
        <w:rPr>
          <w:rFonts w:ascii="Times New Roman" w:hAnsi="Times New Roman" w:cs="Times New Roman"/>
          <w:color w:val="FF0000"/>
          <w:sz w:val="24"/>
          <w:szCs w:val="24"/>
        </w:rPr>
        <w:t>Con l’entrata in vigore del D.Lgs. 126/2014,</w:t>
      </w:r>
      <w:r>
        <w:rPr>
          <w:rFonts w:ascii="Times New Roman" w:hAnsi="Times New Roman" w:cs="Times New Roman"/>
          <w:sz w:val="24"/>
          <w:szCs w:val="24"/>
        </w:rPr>
        <w:t xml:space="preserve"> tutti i Comuni dovranno adottare la nuova contabilità dall’anno 2015, ma quelli che non hanno partecipato alla sperimentazione dovranno:</w:t>
      </w:r>
    </w:p>
    <w:p w:rsidR="000C5DEF" w:rsidRPr="000C5DEF" w:rsidRDefault="000C5DEF" w:rsidP="000C5DEF">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0C5DEF">
        <w:rPr>
          <w:rFonts w:ascii="Times New Roman" w:hAnsi="Times New Roman" w:cs="Times New Roman"/>
          <w:sz w:val="24"/>
          <w:szCs w:val="24"/>
        </w:rPr>
        <w:t>affiancare i nuovi schemi di bilancio di previsione e di rendiconto per missioni e programmi (con funzioni conoscitive) agli schemi di bilancio annuale e pluriennale e di rendiconto adottati nel 2014, che conservano la funzione autorizzatoria e valore giuridico ai fini della rendicontazione. Entrambe le versioni del bilancio e del rendiconto riportano le medesime risultanze contabili (trattasi della classificazione dei medesimi dati con due differenti criteri). Il bilancio pluriennale predisposto secondo lo schema adottato nel 2014 ha valore autorizzatorio;</w:t>
      </w:r>
    </w:p>
    <w:p w:rsidR="000C5DEF" w:rsidRPr="000C5DEF" w:rsidRDefault="000C5DEF" w:rsidP="000C5DEF">
      <w:pPr>
        <w:pStyle w:val="Paragrafoelenco"/>
        <w:numPr>
          <w:ilvl w:val="0"/>
          <w:numId w:val="1"/>
        </w:numPr>
        <w:autoSpaceDE w:val="0"/>
        <w:autoSpaceDN w:val="0"/>
        <w:adjustRightInd w:val="0"/>
        <w:spacing w:after="0" w:line="240" w:lineRule="auto"/>
        <w:jc w:val="both"/>
        <w:rPr>
          <w:rFonts w:ascii="Calibri" w:hAnsi="Calibri" w:cs="Calibri"/>
          <w:color w:val="365F92"/>
          <w:sz w:val="32"/>
          <w:szCs w:val="32"/>
        </w:rPr>
      </w:pPr>
      <w:r w:rsidRPr="000C5DEF">
        <w:rPr>
          <w:rFonts w:ascii="Times New Roman" w:hAnsi="Times New Roman" w:cs="Times New Roman"/>
          <w:sz w:val="24"/>
          <w:szCs w:val="24"/>
        </w:rPr>
        <w:lastRenderedPageBreak/>
        <w:t>applicazione del principio contabile generale della competenza finanziaria (cd. potenziata) per l’accertamento delle entrate e l’impegno delle spese;</w:t>
      </w:r>
    </w:p>
    <w:p w:rsidR="000C5DEF" w:rsidRPr="000C5DEF" w:rsidRDefault="000C5DEF" w:rsidP="000C5DEF">
      <w:pPr>
        <w:pStyle w:val="Paragrafoelenco"/>
        <w:autoSpaceDE w:val="0"/>
        <w:autoSpaceDN w:val="0"/>
        <w:adjustRightInd w:val="0"/>
        <w:spacing w:after="0" w:line="240" w:lineRule="auto"/>
        <w:jc w:val="both"/>
        <w:rPr>
          <w:rFonts w:ascii="Calibri" w:hAnsi="Calibri" w:cs="Calibri"/>
          <w:color w:val="365F92"/>
          <w:sz w:val="32"/>
          <w:szCs w:val="32"/>
        </w:rPr>
      </w:pPr>
    </w:p>
    <w:p w:rsidR="000C5DEF" w:rsidRDefault="000C5DEF" w:rsidP="000C5DEF">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0C5DEF">
        <w:rPr>
          <w:rFonts w:ascii="Times New Roman" w:hAnsi="Times New Roman" w:cs="Times New Roman"/>
          <w:sz w:val="24"/>
          <w:szCs w:val="24"/>
        </w:rPr>
        <w:t>riaccertamento straordinario dei residui per adeguare lo stock dei residui attivi e passivi alla nuova configurazione del principio della competenza finanziaria;</w:t>
      </w:r>
    </w:p>
    <w:p w:rsidR="000C5DEF" w:rsidRPr="000C5DEF" w:rsidRDefault="000C5DEF" w:rsidP="000C5DEF">
      <w:pPr>
        <w:pStyle w:val="Paragrafoelenco"/>
        <w:rPr>
          <w:rFonts w:ascii="Times New Roman" w:hAnsi="Times New Roman" w:cs="Times New Roman"/>
          <w:sz w:val="24"/>
          <w:szCs w:val="24"/>
        </w:rPr>
      </w:pPr>
    </w:p>
    <w:p w:rsidR="000C5DEF" w:rsidRPr="000C5DEF" w:rsidRDefault="000C5DEF" w:rsidP="000C5DEF">
      <w:pPr>
        <w:pStyle w:val="Paragrafoelenco"/>
        <w:autoSpaceDE w:val="0"/>
        <w:autoSpaceDN w:val="0"/>
        <w:adjustRightInd w:val="0"/>
        <w:spacing w:after="0" w:line="240" w:lineRule="auto"/>
        <w:jc w:val="both"/>
        <w:rPr>
          <w:rFonts w:ascii="Times New Roman" w:hAnsi="Times New Roman" w:cs="Times New Roman"/>
          <w:sz w:val="24"/>
          <w:szCs w:val="24"/>
        </w:rPr>
      </w:pPr>
    </w:p>
    <w:p w:rsidR="000C5DEF" w:rsidRDefault="000C5DEF" w:rsidP="000C5DEF">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0C5DEF">
        <w:rPr>
          <w:rFonts w:ascii="Times New Roman" w:hAnsi="Times New Roman" w:cs="Times New Roman"/>
          <w:sz w:val="24"/>
          <w:szCs w:val="24"/>
        </w:rPr>
        <w:t>applicazione del principio contabile applicato della programmazione e predisposizione del primo DUP con riferimento al triennio 2016-2018.</w:t>
      </w:r>
    </w:p>
    <w:p w:rsidR="000C5DEF" w:rsidRPr="000C5DEF" w:rsidRDefault="000C5DEF" w:rsidP="00101139">
      <w:pPr>
        <w:pStyle w:val="Paragrafoelenco"/>
        <w:autoSpaceDE w:val="0"/>
        <w:autoSpaceDN w:val="0"/>
        <w:adjustRightInd w:val="0"/>
        <w:spacing w:after="0" w:line="240" w:lineRule="auto"/>
        <w:jc w:val="both"/>
        <w:rPr>
          <w:rFonts w:ascii="Times New Roman" w:hAnsi="Times New Roman" w:cs="Times New Roman"/>
          <w:sz w:val="24"/>
          <w:szCs w:val="24"/>
        </w:rPr>
      </w:pPr>
    </w:p>
    <w:p w:rsidR="003E413E" w:rsidRPr="00101139" w:rsidRDefault="000C5DEF" w:rsidP="000C5DEF">
      <w:pPr>
        <w:pStyle w:val="Paragrafoelenco"/>
        <w:numPr>
          <w:ilvl w:val="0"/>
          <w:numId w:val="1"/>
        </w:numPr>
        <w:autoSpaceDE w:val="0"/>
        <w:autoSpaceDN w:val="0"/>
        <w:adjustRightInd w:val="0"/>
        <w:spacing w:after="0" w:line="240" w:lineRule="auto"/>
        <w:jc w:val="both"/>
        <w:rPr>
          <w:rFonts w:ascii="Calibri" w:hAnsi="Calibri" w:cs="Calibri"/>
          <w:color w:val="365F92"/>
          <w:sz w:val="32"/>
          <w:szCs w:val="32"/>
        </w:rPr>
      </w:pPr>
      <w:r w:rsidRPr="000C5DEF">
        <w:rPr>
          <w:rFonts w:ascii="Times New Roman" w:hAnsi="Times New Roman" w:cs="Times New Roman"/>
          <w:sz w:val="24"/>
          <w:szCs w:val="24"/>
        </w:rPr>
        <w:t>Per cui nell’anno 2015 ci sarà ancora una differenza tra i Comuni che hanno partecipato alla sperimentazione e quelli che inizieranno dal 2015, ma a decorrere dal 2016 la nuova contabilità sarà completamente a regime per tutti i Comuni.</w:t>
      </w:r>
    </w:p>
    <w:p w:rsidR="00101139" w:rsidRPr="00101139" w:rsidRDefault="00101139" w:rsidP="00101139">
      <w:pPr>
        <w:pStyle w:val="Paragrafoelenco"/>
        <w:rPr>
          <w:rFonts w:ascii="Calibri" w:hAnsi="Calibri" w:cs="Calibri"/>
          <w:color w:val="365F92"/>
          <w:sz w:val="32"/>
          <w:szCs w:val="32"/>
        </w:rPr>
      </w:pPr>
    </w:p>
    <w:p w:rsidR="00101139" w:rsidRPr="000C5DEF" w:rsidRDefault="00101139" w:rsidP="00101139">
      <w:pPr>
        <w:pStyle w:val="Paragrafoelenco"/>
        <w:autoSpaceDE w:val="0"/>
        <w:autoSpaceDN w:val="0"/>
        <w:adjustRightInd w:val="0"/>
        <w:spacing w:after="0" w:line="240" w:lineRule="auto"/>
        <w:jc w:val="both"/>
        <w:rPr>
          <w:rFonts w:ascii="Calibri" w:hAnsi="Calibri" w:cs="Calibri"/>
          <w:color w:val="365F92"/>
          <w:sz w:val="32"/>
          <w:szCs w:val="32"/>
        </w:rPr>
      </w:pPr>
    </w:p>
    <w:p w:rsidR="00101139" w:rsidRPr="00101139" w:rsidRDefault="00101139" w:rsidP="00101139">
      <w:pPr>
        <w:autoSpaceDE w:val="0"/>
        <w:autoSpaceDN w:val="0"/>
        <w:adjustRightInd w:val="0"/>
        <w:spacing w:after="0" w:line="240" w:lineRule="auto"/>
        <w:ind w:left="360"/>
        <w:jc w:val="both"/>
        <w:rPr>
          <w:rFonts w:ascii="Times New Roman" w:hAnsi="Times New Roman" w:cs="Times New Roman"/>
          <w:sz w:val="24"/>
          <w:szCs w:val="24"/>
        </w:rPr>
      </w:pPr>
      <w:r w:rsidRPr="00101139">
        <w:rPr>
          <w:rFonts w:ascii="Times New Roman" w:hAnsi="Times New Roman" w:cs="Times New Roman"/>
          <w:sz w:val="24"/>
          <w:szCs w:val="24"/>
        </w:rPr>
        <w:t xml:space="preserve">Il  bilancio </w:t>
      </w:r>
      <w:r>
        <w:rPr>
          <w:rFonts w:ascii="Times New Roman" w:hAnsi="Times New Roman" w:cs="Times New Roman"/>
          <w:sz w:val="24"/>
          <w:szCs w:val="24"/>
        </w:rPr>
        <w:t>2016/2018</w:t>
      </w:r>
      <w:r w:rsidRPr="00101139">
        <w:rPr>
          <w:rFonts w:ascii="Times New Roman" w:hAnsi="Times New Roman" w:cs="Times New Roman"/>
          <w:sz w:val="24"/>
          <w:szCs w:val="24"/>
        </w:rPr>
        <w:t>è stato redatto secondo i nuovi principi contabili e secondo i nuovi schemi previsti dal DPCM 28 dicembre 2011</w:t>
      </w:r>
      <w:r>
        <w:rPr>
          <w:rFonts w:ascii="Times New Roman" w:hAnsi="Times New Roman" w:cs="Times New Roman"/>
          <w:sz w:val="24"/>
          <w:szCs w:val="24"/>
        </w:rPr>
        <w:t xml:space="preserve"> e da quanto previsto dal </w:t>
      </w:r>
      <w:r w:rsidRPr="000C5DEF">
        <w:rPr>
          <w:rFonts w:ascii="Times New Roman" w:hAnsi="Times New Roman" w:cs="Times New Roman"/>
          <w:color w:val="FF0000"/>
          <w:sz w:val="24"/>
          <w:szCs w:val="24"/>
        </w:rPr>
        <w:t>D.Lgs. 126/2014</w:t>
      </w:r>
      <w:r>
        <w:rPr>
          <w:rFonts w:ascii="Times New Roman" w:hAnsi="Times New Roman" w:cs="Times New Roman"/>
          <w:sz w:val="24"/>
          <w:szCs w:val="24"/>
        </w:rPr>
        <w:t xml:space="preserve"> </w:t>
      </w:r>
      <w:r w:rsidRPr="00101139">
        <w:rPr>
          <w:rFonts w:ascii="Times New Roman" w:hAnsi="Times New Roman" w:cs="Times New Roman"/>
          <w:sz w:val="24"/>
          <w:szCs w:val="24"/>
        </w:rPr>
        <w:t>.</w:t>
      </w: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rPr>
          <w:rFonts w:ascii="Calibri" w:hAnsi="Calibri" w:cs="Calibri"/>
          <w:color w:val="365F92"/>
          <w:sz w:val="32"/>
          <w:szCs w:val="32"/>
        </w:rPr>
      </w:pPr>
    </w:p>
    <w:p w:rsidR="003E413E" w:rsidRDefault="003E413E" w:rsidP="003E413E">
      <w:pPr>
        <w:jc w:val="center"/>
      </w:pPr>
    </w:p>
    <w:p w:rsidR="00101139" w:rsidRDefault="00101139" w:rsidP="003E413E">
      <w:pPr>
        <w:jc w:val="center"/>
      </w:pPr>
    </w:p>
    <w:p w:rsidR="00101139" w:rsidRDefault="00101139" w:rsidP="003E413E">
      <w:pPr>
        <w:jc w:val="center"/>
      </w:pPr>
    </w:p>
    <w:p w:rsidR="00101139" w:rsidRDefault="00101139" w:rsidP="003E413E">
      <w:pPr>
        <w:jc w:val="center"/>
      </w:pPr>
    </w:p>
    <w:p w:rsidR="00101139" w:rsidRDefault="00101139" w:rsidP="003E413E">
      <w:pPr>
        <w:jc w:val="center"/>
      </w:pPr>
    </w:p>
    <w:p w:rsidR="00101139" w:rsidRDefault="00101139" w:rsidP="003E413E">
      <w:pPr>
        <w:jc w:val="center"/>
      </w:pPr>
    </w:p>
    <w:p w:rsidR="00101139" w:rsidRDefault="00101139" w:rsidP="003E413E">
      <w:pPr>
        <w:jc w:val="center"/>
      </w:pPr>
    </w:p>
    <w:p w:rsidR="00101139" w:rsidRDefault="00101139" w:rsidP="003E413E">
      <w:pPr>
        <w:jc w:val="center"/>
      </w:pPr>
    </w:p>
    <w:p w:rsidR="00101139" w:rsidRDefault="00101139" w:rsidP="003E413E">
      <w:pPr>
        <w:jc w:val="center"/>
      </w:pPr>
    </w:p>
    <w:p w:rsidR="00101139" w:rsidRDefault="00101139" w:rsidP="003E413E">
      <w:pPr>
        <w:jc w:val="center"/>
      </w:pPr>
    </w:p>
    <w:p w:rsidR="00101139" w:rsidRDefault="00101139" w:rsidP="003E413E">
      <w:pPr>
        <w:jc w:val="center"/>
      </w:pPr>
    </w:p>
    <w:p w:rsidR="00101139" w:rsidRDefault="00101139" w:rsidP="0010113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Nota integrativa al bilancio di previsione 2016/2018</w:t>
      </w:r>
    </w:p>
    <w:p w:rsidR="00101139" w:rsidRDefault="00101139" w:rsidP="001011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 presente nota integrativa è prevista dal punto 9.3 del principio contabile applicato concernente la programmazione di bilancio.</w:t>
      </w:r>
    </w:p>
    <w:p w:rsidR="00101139" w:rsidRDefault="00101139" w:rsidP="00101139">
      <w:pPr>
        <w:jc w:val="center"/>
        <w:rPr>
          <w:rFonts w:ascii="Times New Roman" w:hAnsi="Times New Roman" w:cs="Times New Roman"/>
          <w:sz w:val="24"/>
          <w:szCs w:val="24"/>
        </w:rPr>
      </w:pPr>
      <w:r>
        <w:rPr>
          <w:rFonts w:ascii="Times New Roman" w:hAnsi="Times New Roman" w:cs="Times New Roman"/>
          <w:sz w:val="24"/>
          <w:szCs w:val="24"/>
        </w:rPr>
        <w:t>Si inizia riportando il quadro riassuntivo del bilancio 2016/2018 e i relativi equilibri di bilancio</w:t>
      </w:r>
    </w:p>
    <w:p w:rsidR="009C2D64" w:rsidRDefault="009C2D64" w:rsidP="00101139">
      <w:pPr>
        <w:jc w:val="center"/>
      </w:pPr>
      <w:r>
        <w:rPr>
          <w:rFonts w:ascii="Times New Roman" w:hAnsi="Times New Roman" w:cs="Times New Roman"/>
          <w:sz w:val="24"/>
          <w:szCs w:val="24"/>
        </w:rPr>
        <w:t>Vedi tabella allegata</w:t>
      </w: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L’equilibrio di parte capitale,  presentava un valore negativo pari a euro </w:t>
      </w:r>
      <w:r w:rsidRPr="00853FF8">
        <w:rPr>
          <w:rFonts w:ascii="Times New Roman" w:hAnsi="Times New Roman" w:cs="Times New Roman"/>
          <w:color w:val="FF0000"/>
          <w:sz w:val="24"/>
          <w:szCs w:val="24"/>
        </w:rPr>
        <w:t>116</w:t>
      </w:r>
      <w:r w:rsidR="009C2D64">
        <w:rPr>
          <w:rFonts w:ascii="Times New Roman" w:hAnsi="Times New Roman" w:cs="Times New Roman"/>
          <w:color w:val="FF0000"/>
          <w:sz w:val="24"/>
          <w:szCs w:val="24"/>
        </w:rPr>
        <w:t>.850,00</w:t>
      </w:r>
      <w:r>
        <w:rPr>
          <w:rFonts w:ascii="Times New Roman" w:hAnsi="Times New Roman" w:cs="Times New Roman"/>
          <w:sz w:val="24"/>
          <w:szCs w:val="24"/>
        </w:rPr>
        <w:t xml:space="preserve"> per il trasferimento da parte della Regione Sardegna del fondo Unico il cui stanziamento totale  è stato previsto al Titolo secondo delle entrate e la somma</w:t>
      </w:r>
      <w:r w:rsidR="009214D2">
        <w:rPr>
          <w:rFonts w:ascii="Times New Roman" w:hAnsi="Times New Roman" w:cs="Times New Roman"/>
          <w:sz w:val="24"/>
          <w:szCs w:val="24"/>
        </w:rPr>
        <w:t xml:space="preserve"> </w:t>
      </w:r>
      <w:r>
        <w:rPr>
          <w:rFonts w:ascii="Times New Roman" w:hAnsi="Times New Roman" w:cs="Times New Roman"/>
          <w:sz w:val="24"/>
          <w:szCs w:val="24"/>
        </w:rPr>
        <w:t>di € 116</w:t>
      </w:r>
      <w:r w:rsidR="009C2D64">
        <w:rPr>
          <w:rFonts w:ascii="Times New Roman" w:hAnsi="Times New Roman" w:cs="Times New Roman"/>
          <w:sz w:val="24"/>
          <w:szCs w:val="24"/>
        </w:rPr>
        <w:t>.850,00</w:t>
      </w:r>
      <w:r>
        <w:rPr>
          <w:rFonts w:ascii="Times New Roman" w:hAnsi="Times New Roman" w:cs="Times New Roman"/>
          <w:sz w:val="24"/>
          <w:szCs w:val="24"/>
        </w:rPr>
        <w:t xml:space="preserve"> destinato a spese di investimento.</w:t>
      </w:r>
    </w:p>
    <w:p w:rsidR="00101139" w:rsidRDefault="00853FF8" w:rsidP="00853FF8">
      <w:pPr>
        <w:jc w:val="both"/>
        <w:rPr>
          <w:rFonts w:ascii="Times New Roman" w:hAnsi="Times New Roman" w:cs="Times New Roman"/>
          <w:sz w:val="24"/>
          <w:szCs w:val="24"/>
        </w:rPr>
      </w:pPr>
      <w:r>
        <w:rPr>
          <w:rFonts w:ascii="Times New Roman" w:hAnsi="Times New Roman" w:cs="Times New Roman"/>
          <w:sz w:val="24"/>
          <w:szCs w:val="24"/>
        </w:rPr>
        <w:t>Per cui nel presente bilancio tutte le spese correnti risultano finanziate solo da entrate correnti.</w:t>
      </w:r>
    </w:p>
    <w:p w:rsidR="00853FF8" w:rsidRDefault="00853FF8" w:rsidP="00853FF8">
      <w:pPr>
        <w:rPr>
          <w:rFonts w:ascii="Times New Roman" w:hAnsi="Times New Roman" w:cs="Times New Roman"/>
          <w:sz w:val="24"/>
          <w:szCs w:val="24"/>
        </w:rPr>
      </w:pPr>
    </w:p>
    <w:p w:rsidR="00853FF8" w:rsidRDefault="00853FF8" w:rsidP="00853FF8">
      <w:pPr>
        <w:rPr>
          <w:rFonts w:ascii="Times New Roman" w:hAnsi="Times New Roman" w:cs="Times New Roman"/>
          <w:sz w:val="24"/>
          <w:szCs w:val="24"/>
        </w:rPr>
      </w:pP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Dopo aver rappresentato i dati del bilancio a livello aggregato ed i relativi equilibri si procede nella redazione della presente nota integrativa secondo le indicazioni riportate nel principio contabile concernente la programmazione di bilancio.</w:t>
      </w: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1. I criteri di valutazione adottati per la formulazione delle previsioni</w:t>
      </w:r>
    </w:p>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r w:rsidRPr="002838BE">
        <w:rPr>
          <w:rFonts w:ascii="Arial" w:eastAsia="Times New Roman" w:hAnsi="Arial" w:cs="Arial"/>
          <w:sz w:val="20"/>
          <w:szCs w:val="20"/>
        </w:rPr>
        <w:t>Di seguito vengono evidenziati i criteri di formulazione delle previsioni relative al triennio, distintamente per la parte entrata e per la parte spesa.</w:t>
      </w:r>
      <w:r>
        <w:rPr>
          <w:rFonts w:ascii="Arial" w:eastAsia="Times New Roman" w:hAnsi="Arial" w:cs="Arial"/>
          <w:sz w:val="20"/>
          <w:szCs w:val="20"/>
        </w:rPr>
        <w:t xml:space="preserve"> Nell’illustrare le entrate, si premette che non sono considerati gli effetti del DDL di stabilità 2016 in corso di approvazione, il quale prevede per il 2016 il blocco degli aumenti dei tributi locali, fatta eccezione per la TARI e l’abolizione della TASI sull’abitazione principale, sostituita dall’incremento del fondo di solidarietà comunale. Ad avvenuta approvazione della legge si procederà con le opportune variazioni di bilancio.</w:t>
      </w:r>
    </w:p>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pStyle w:val="Paragrafoelenco"/>
        <w:numPr>
          <w:ilvl w:val="1"/>
          <w:numId w:val="4"/>
        </w:numPr>
        <w:autoSpaceDE w:val="0"/>
        <w:autoSpaceDN w:val="0"/>
        <w:adjustRightInd w:val="0"/>
        <w:spacing w:after="0" w:line="240" w:lineRule="auto"/>
        <w:ind w:right="-2"/>
        <w:jc w:val="both"/>
        <w:rPr>
          <w:rFonts w:ascii="Arial" w:eastAsia="Times New Roman" w:hAnsi="Arial" w:cs="Arial"/>
          <w:b/>
          <w:sz w:val="20"/>
          <w:szCs w:val="20"/>
        </w:rPr>
      </w:pPr>
      <w:r w:rsidRPr="002838BE">
        <w:rPr>
          <w:rFonts w:ascii="Arial" w:eastAsia="Times New Roman" w:hAnsi="Arial" w:cs="Arial"/>
          <w:b/>
          <w:sz w:val="20"/>
          <w:szCs w:val="20"/>
        </w:rPr>
        <w:t>Le entrate</w:t>
      </w:r>
      <w:r w:rsidRPr="002838BE">
        <w:rPr>
          <w:rStyle w:val="Rimandonotaapidipagina"/>
          <w:rFonts w:ascii="Arial" w:eastAsia="Times New Roman" w:hAnsi="Arial"/>
          <w:b/>
          <w:sz w:val="20"/>
          <w:szCs w:val="20"/>
        </w:rPr>
        <w:footnoteReference w:id="2"/>
      </w:r>
    </w:p>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r w:rsidRPr="002838BE">
        <w:rPr>
          <w:rFonts w:ascii="Arial" w:eastAsia="Times New Roman" w:hAnsi="Arial" w:cs="Arial"/>
          <w:sz w:val="20"/>
          <w:szCs w:val="20"/>
        </w:rPr>
        <w:t>Per quanto riguarda le entrate, le prev</w:t>
      </w:r>
      <w:r>
        <w:rPr>
          <w:rFonts w:ascii="Arial" w:eastAsia="Times New Roman" w:hAnsi="Arial" w:cs="Arial"/>
          <w:sz w:val="20"/>
          <w:szCs w:val="20"/>
        </w:rPr>
        <w:t>isioni relative al triennio 2016-2018</w:t>
      </w:r>
      <w:r w:rsidRPr="002838BE">
        <w:rPr>
          <w:rFonts w:ascii="Arial" w:eastAsia="Times New Roman" w:hAnsi="Arial" w:cs="Arial"/>
          <w:sz w:val="20"/>
          <w:szCs w:val="20"/>
        </w:rPr>
        <w:t xml:space="preserve"> sono state formulate tenendo in considerazione il trend storico degli esercizi precedenti, ove disponibile, ovvero, le basi informative (catastale, tributaria, ecc.). Nel prospetto seguente sono riportati i criteri di valutazione per la formulazione delle principali </w:t>
      </w:r>
      <w:r w:rsidRPr="002838BE">
        <w:rPr>
          <w:rFonts w:ascii="Arial" w:eastAsia="Times New Roman" w:hAnsi="Arial" w:cs="Arial"/>
          <w:b/>
          <w:sz w:val="20"/>
          <w:szCs w:val="20"/>
        </w:rPr>
        <w:t>entrate:</w:t>
      </w:r>
    </w:p>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IMPOSTA MUNICIPALE PROPRIA (IMU)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079"/>
        <w:gridCol w:w="2079"/>
        <w:gridCol w:w="2079"/>
      </w:tblGrid>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Principali norme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Art. 13 del decreto legge n. 201/2011, conv. in legge n. 201/2011</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Artt. 7 e 8 del d.Lgs. n. 23/2011</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 xml:space="preserve">Art. 1, commi </w:t>
            </w:r>
            <w:r w:rsidRPr="00B40C5E">
              <w:rPr>
                <w:rFonts w:ascii="Arial" w:eastAsia="Times New Roman" w:hAnsi="Arial" w:cs="Times New Roman"/>
                <w:sz w:val="20"/>
              </w:rPr>
              <w:t>639-731</w:t>
            </w:r>
            <w:r w:rsidRPr="00B40C5E">
              <w:rPr>
                <w:rFonts w:ascii="Arial" w:eastAsia="Times New Roman" w:hAnsi="Arial" w:cs="Arial"/>
                <w:sz w:val="20"/>
                <w:szCs w:val="20"/>
              </w:rPr>
              <w:t>, legge n. 147/2013</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conseguito nel penultimo esercizio precedente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€ 30.791,31</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nell’anno precedente a quello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vMerge w:val="restart"/>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 triennio</w:t>
            </w: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2016</w:t>
            </w: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2017</w:t>
            </w: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Pr>
                <w:rFonts w:ascii="Arial" w:hAnsi="Arial" w:cs="Arial"/>
                <w:b/>
                <w:sz w:val="20"/>
                <w:szCs w:val="20"/>
              </w:rPr>
              <w:t>2018</w:t>
            </w:r>
          </w:p>
        </w:tc>
      </w:tr>
      <w:tr w:rsidR="008D66E6" w:rsidRPr="002838BE" w:rsidTr="00582BBA">
        <w:tc>
          <w:tcPr>
            <w:tcW w:w="3510" w:type="dxa"/>
            <w:vMerge/>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€ 37.540,64</w:t>
            </w: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€ 37.540,64</w:t>
            </w: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€ 37.540,64</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lastRenderedPageBreak/>
              <w:t>Effetti connessi a modifiche legislative previste sugli anni della previsione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alla modifica delle aliquote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Si tenga presente che il DDL di stabilità 2016 prevede per il 2016 il blocco degli aumenti dei tributi locali, ad eccezione della TARI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dalla legge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 regolamento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bl>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TRIBUTO COMUNALE SUI SERVIZI INDIVISIBILI (TASI)</w:t>
      </w:r>
      <w:r>
        <w:rPr>
          <w:rFonts w:ascii="Arial" w:hAnsi="Arial" w:cs="Arial"/>
          <w:b/>
          <w:sz w:val="20"/>
          <w:szCs w:val="20"/>
        </w:rPr>
        <w:t xml:space="preserve"> note: per quanto concerne la Tasi </w:t>
      </w:r>
      <w:r w:rsidR="008C7526">
        <w:rPr>
          <w:rFonts w:ascii="Arial" w:hAnsi="Arial" w:cs="Arial"/>
          <w:b/>
          <w:sz w:val="20"/>
          <w:szCs w:val="20"/>
        </w:rPr>
        <w:t>si è applicata l’aliquota 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079"/>
        <w:gridCol w:w="2079"/>
        <w:gridCol w:w="2079"/>
      </w:tblGrid>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Principali norme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 xml:space="preserve">Art. 1, commi </w:t>
            </w:r>
            <w:r w:rsidRPr="00B40C5E">
              <w:rPr>
                <w:rFonts w:ascii="Arial" w:eastAsia="Times New Roman" w:hAnsi="Arial" w:cs="Times New Roman"/>
                <w:sz w:val="20"/>
              </w:rPr>
              <w:t>639-731</w:t>
            </w:r>
            <w:r w:rsidRPr="00B40C5E">
              <w:rPr>
                <w:rFonts w:ascii="Arial" w:eastAsia="Times New Roman" w:hAnsi="Arial" w:cs="Arial"/>
                <w:sz w:val="20"/>
                <w:szCs w:val="20"/>
              </w:rPr>
              <w:t>, legge n. 147/2013</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conseguito nel penultimo esercizio precedente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nell’anno precedente a quello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zero</w:t>
            </w:r>
          </w:p>
        </w:tc>
      </w:tr>
      <w:tr w:rsidR="008D66E6" w:rsidRPr="002838BE" w:rsidTr="00582BBA">
        <w:tc>
          <w:tcPr>
            <w:tcW w:w="3510" w:type="dxa"/>
            <w:vMerge w:val="restart"/>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 triennio</w:t>
            </w: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2016</w:t>
            </w: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2017</w:t>
            </w: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2018</w:t>
            </w:r>
          </w:p>
        </w:tc>
      </w:tr>
      <w:tr w:rsidR="008D66E6" w:rsidRPr="002838BE" w:rsidTr="00582BBA">
        <w:tc>
          <w:tcPr>
            <w:tcW w:w="3510" w:type="dxa"/>
            <w:vMerge/>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modifiche legislative previste sugli anni della previsione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alla modifica delle aliquote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Si tenga presente che il DDL di stabilità 2016 prevede per il 2016 il blocco degli aumenti dei tributi locali, ad eccezione della TARI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dalla legge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 regolamento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bl>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TASSA SUI RIFIUTI (TARI)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079"/>
        <w:gridCol w:w="2079"/>
        <w:gridCol w:w="2079"/>
      </w:tblGrid>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Principali norme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 xml:space="preserve">Art. 1, commi </w:t>
            </w:r>
            <w:r w:rsidRPr="00B40C5E">
              <w:rPr>
                <w:rFonts w:ascii="Arial" w:eastAsia="Times New Roman" w:hAnsi="Arial" w:cs="Times New Roman"/>
                <w:sz w:val="20"/>
              </w:rPr>
              <w:t>639-731,</w:t>
            </w:r>
            <w:r w:rsidRPr="00B40C5E">
              <w:rPr>
                <w:rFonts w:ascii="Arial" w:eastAsia="Times New Roman" w:hAnsi="Arial" w:cs="Arial"/>
                <w:sz w:val="20"/>
                <w:szCs w:val="20"/>
              </w:rPr>
              <w:t xml:space="preserve"> legge n. 147/2013</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conseguito nel penultimo esercizio precedente</w:t>
            </w:r>
          </w:p>
        </w:tc>
        <w:tc>
          <w:tcPr>
            <w:tcW w:w="6237" w:type="dxa"/>
            <w:gridSpan w:val="3"/>
            <w:shd w:val="clear" w:color="auto" w:fill="auto"/>
          </w:tcPr>
          <w:p w:rsidR="008D66E6" w:rsidRPr="00B40C5E" w:rsidRDefault="008C752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Tot. 58.864,34 di cui € 4.613,34 competenza € 54.251,00 residui.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nell’anno precedente a quello di riferimento</w:t>
            </w:r>
          </w:p>
        </w:tc>
        <w:tc>
          <w:tcPr>
            <w:tcW w:w="6237" w:type="dxa"/>
            <w:gridSpan w:val="3"/>
            <w:shd w:val="clear" w:color="auto" w:fill="auto"/>
          </w:tcPr>
          <w:p w:rsidR="008D66E6" w:rsidRPr="00B40C5E" w:rsidRDefault="008C752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€ 38.279,00</w:t>
            </w:r>
          </w:p>
        </w:tc>
      </w:tr>
      <w:tr w:rsidR="008D66E6" w:rsidRPr="002838BE" w:rsidTr="00582BBA">
        <w:tc>
          <w:tcPr>
            <w:tcW w:w="3510" w:type="dxa"/>
            <w:vMerge w:val="restart"/>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 triennio</w:t>
            </w: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2016</w:t>
            </w: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2017</w:t>
            </w: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2018</w:t>
            </w:r>
          </w:p>
        </w:tc>
      </w:tr>
      <w:tr w:rsidR="008D66E6" w:rsidRPr="002838BE" w:rsidTr="00582BBA">
        <w:tc>
          <w:tcPr>
            <w:tcW w:w="3510" w:type="dxa"/>
            <w:vMerge/>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auto"/>
          </w:tcPr>
          <w:p w:rsidR="008D66E6" w:rsidRPr="00B40C5E" w:rsidRDefault="008C752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€ 50.585,00</w:t>
            </w:r>
          </w:p>
        </w:tc>
        <w:tc>
          <w:tcPr>
            <w:tcW w:w="2079" w:type="dxa"/>
            <w:shd w:val="clear" w:color="auto" w:fill="auto"/>
          </w:tcPr>
          <w:p w:rsidR="008D66E6" w:rsidRPr="00B40C5E" w:rsidRDefault="008C752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€ 50.585,00</w:t>
            </w:r>
          </w:p>
        </w:tc>
        <w:tc>
          <w:tcPr>
            <w:tcW w:w="2079" w:type="dxa"/>
            <w:shd w:val="clear" w:color="auto" w:fill="auto"/>
          </w:tcPr>
          <w:p w:rsidR="008D66E6" w:rsidRPr="00B40C5E" w:rsidRDefault="008C7526"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€ 50.585,00</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modifiche legislative previste sugli anni della previsione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alla modifica delle tariffe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 xml:space="preserve">Effetti connessi a disposizioni recanti esenzioni e riduzioni </w:t>
            </w:r>
            <w:r w:rsidRPr="00B40C5E">
              <w:rPr>
                <w:rFonts w:ascii="Arial" w:eastAsia="Times New Roman" w:hAnsi="Arial" w:cs="Arial"/>
                <w:b/>
                <w:sz w:val="20"/>
                <w:szCs w:val="20"/>
              </w:rPr>
              <w:lastRenderedPageBreak/>
              <w:t>previsti dalla legge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lastRenderedPageBreak/>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lastRenderedPageBreak/>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lastRenderedPageBreak/>
              <w:t>Effetti connessi a disposizioni recanti esenzioni e riduzioni previsti dal regolamento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c>
          <w:tcPr>
            <w:tcW w:w="6237" w:type="dxa"/>
            <w:gridSpan w:val="3"/>
            <w:shd w:val="clear" w:color="auto" w:fill="auto"/>
          </w:tcPr>
          <w:p w:rsidR="008D66E6" w:rsidRPr="008C7526" w:rsidRDefault="008C7526" w:rsidP="00582BBA">
            <w:pPr>
              <w:autoSpaceDE w:val="0"/>
              <w:autoSpaceDN w:val="0"/>
              <w:adjustRightInd w:val="0"/>
              <w:ind w:right="-2"/>
              <w:contextualSpacing/>
              <w:jc w:val="both"/>
              <w:rPr>
                <w:rFonts w:ascii="Arial" w:eastAsia="Times New Roman" w:hAnsi="Arial" w:cs="Arial"/>
                <w:b/>
                <w:sz w:val="20"/>
                <w:szCs w:val="20"/>
              </w:rPr>
            </w:pPr>
            <w:r w:rsidRPr="008C7526">
              <w:rPr>
                <w:rFonts w:ascii="Arial" w:hAnsi="Arial" w:cs="Arial"/>
                <w:b/>
                <w:sz w:val="20"/>
                <w:szCs w:val="20"/>
              </w:rPr>
              <w:t xml:space="preserve"> Il  costo del servizio è aumentato a seguito dell’apertura dell’eco-centro comunale.</w:t>
            </w:r>
          </w:p>
        </w:tc>
      </w:tr>
    </w:tbl>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ADDIZIONALE COMUNALE ALL’IRPEF</w:t>
      </w:r>
      <w:r w:rsidR="008C7526">
        <w:rPr>
          <w:rFonts w:ascii="Arial" w:hAnsi="Arial" w:cs="Arial"/>
          <w:b/>
          <w:sz w:val="20"/>
          <w:szCs w:val="20"/>
        </w:rPr>
        <w:t>: non ricorre la fattispecie.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079"/>
        <w:gridCol w:w="2079"/>
        <w:gridCol w:w="2079"/>
      </w:tblGrid>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Principali norme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 xml:space="preserve">Decreto legislativo 28 settembre 1998, n. 360 </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conseguito nel penultimo esercizio precedente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Specificare anche il criterio utilizzato per l’accertamento dell’addizionale IRPEF (se competenza o cassa)</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nell’anno precedente a quello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Specificare anche il criterio utilizzato per l’accertamento dell’addizionale IRPEF (se competenza o cassa)</w:t>
            </w:r>
          </w:p>
        </w:tc>
      </w:tr>
      <w:tr w:rsidR="008D66E6" w:rsidRPr="002838BE" w:rsidTr="00582BBA">
        <w:tc>
          <w:tcPr>
            <w:tcW w:w="3510" w:type="dxa"/>
            <w:vMerge w:val="restart"/>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 triennio</w:t>
            </w: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2016</w:t>
            </w: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2017</w:t>
            </w: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2018</w:t>
            </w:r>
          </w:p>
        </w:tc>
      </w:tr>
      <w:tr w:rsidR="008D66E6" w:rsidRPr="002838BE" w:rsidTr="00582BBA">
        <w:tc>
          <w:tcPr>
            <w:tcW w:w="3510" w:type="dxa"/>
            <w:vMerge/>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c>
          <w:tcPr>
            <w:tcW w:w="2079" w:type="dxa"/>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modifiche legislative previste sugli anni della previsione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alla modifica delle aliquote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Si tenga presente che il DDL di stabilità 2016 prevede per il 2016 il blocco degli aumenti dei tributi locali, ad eccezione della TARI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dalla legge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 regolamento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bl>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TASSA OCCUPAZIONE SPAZI ED AREE PUBBLICHE (TOSAP)</w:t>
      </w:r>
      <w:r w:rsidR="004532AB">
        <w:rPr>
          <w:rFonts w:ascii="Arial" w:hAnsi="Arial" w:cs="Arial"/>
          <w:b/>
          <w:sz w:val="20"/>
          <w:szCs w:val="20"/>
        </w:rPr>
        <w:t>:si applica la COSAP.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079"/>
        <w:gridCol w:w="2079"/>
        <w:gridCol w:w="2079"/>
      </w:tblGrid>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Principali norme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Capo II del d.Lgs. n. 507/1993</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conseguito nel penultimo esercizio precedente</w:t>
            </w:r>
          </w:p>
        </w:tc>
        <w:tc>
          <w:tcPr>
            <w:tcW w:w="6237" w:type="dxa"/>
            <w:gridSpan w:val="3"/>
            <w:shd w:val="clear" w:color="auto" w:fill="auto"/>
          </w:tcPr>
          <w:p w:rsidR="008D66E6" w:rsidRPr="00B40C5E" w:rsidRDefault="00582BBA" w:rsidP="00582BBA">
            <w:pPr>
              <w:autoSpaceDE w:val="0"/>
              <w:autoSpaceDN w:val="0"/>
              <w:adjustRightInd w:val="0"/>
              <w:ind w:right="-2"/>
              <w:contextualSpacing/>
              <w:jc w:val="both"/>
              <w:rPr>
                <w:rFonts w:ascii="Arial" w:eastAsia="Times New Roman" w:hAnsi="Arial" w:cs="Arial"/>
                <w:sz w:val="20"/>
                <w:szCs w:val="20"/>
              </w:rPr>
            </w:pPr>
            <w:r>
              <w:rPr>
                <w:rFonts w:ascii="Arial" w:eastAsia="Times New Roman" w:hAnsi="Arial" w:cs="Arial"/>
                <w:sz w:val="20"/>
                <w:szCs w:val="20"/>
              </w:rPr>
              <w:t>€ 516,00</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nell’anno precedente a quello di riferimento</w:t>
            </w:r>
          </w:p>
        </w:tc>
        <w:tc>
          <w:tcPr>
            <w:tcW w:w="6237" w:type="dxa"/>
            <w:gridSpan w:val="3"/>
            <w:shd w:val="clear" w:color="auto" w:fill="auto"/>
          </w:tcPr>
          <w:p w:rsidR="008D66E6" w:rsidRPr="00B40C5E" w:rsidRDefault="00582BBA" w:rsidP="00582BBA">
            <w:pPr>
              <w:autoSpaceDE w:val="0"/>
              <w:autoSpaceDN w:val="0"/>
              <w:adjustRightInd w:val="0"/>
              <w:ind w:right="-2"/>
              <w:contextualSpacing/>
              <w:jc w:val="both"/>
              <w:rPr>
                <w:rFonts w:ascii="Arial" w:eastAsia="Times New Roman" w:hAnsi="Arial" w:cs="Arial"/>
                <w:sz w:val="20"/>
                <w:szCs w:val="20"/>
              </w:rPr>
            </w:pPr>
            <w:r>
              <w:rPr>
                <w:rFonts w:ascii="Arial" w:eastAsia="Times New Roman" w:hAnsi="Arial" w:cs="Arial"/>
                <w:sz w:val="20"/>
                <w:szCs w:val="20"/>
              </w:rPr>
              <w:t>€ 1.400,00</w:t>
            </w:r>
          </w:p>
        </w:tc>
      </w:tr>
      <w:tr w:rsidR="008D66E6" w:rsidRPr="002838BE" w:rsidTr="00582BBA">
        <w:tc>
          <w:tcPr>
            <w:tcW w:w="3510" w:type="dxa"/>
            <w:vMerge w:val="restart"/>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 triennio</w:t>
            </w: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2016</w:t>
            </w: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2017</w:t>
            </w: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2018</w:t>
            </w:r>
          </w:p>
        </w:tc>
      </w:tr>
      <w:tr w:rsidR="00582BBA" w:rsidRPr="002838BE" w:rsidTr="00582BBA">
        <w:tc>
          <w:tcPr>
            <w:tcW w:w="3510" w:type="dxa"/>
            <w:vMerge/>
            <w:shd w:val="clear" w:color="auto" w:fill="D9D9D9"/>
          </w:tcPr>
          <w:p w:rsidR="00582BBA" w:rsidRPr="00B40C5E" w:rsidRDefault="00582BBA"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Pr>
                <w:rFonts w:ascii="Arial" w:eastAsia="Times New Roman" w:hAnsi="Arial" w:cs="Arial"/>
                <w:sz w:val="20"/>
                <w:szCs w:val="20"/>
              </w:rPr>
              <w:t>€ 1.400,00</w:t>
            </w:r>
          </w:p>
        </w:tc>
        <w:tc>
          <w:tcPr>
            <w:tcW w:w="2079" w:type="dxa"/>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Pr>
                <w:rFonts w:ascii="Arial" w:eastAsia="Times New Roman" w:hAnsi="Arial" w:cs="Arial"/>
                <w:sz w:val="20"/>
                <w:szCs w:val="20"/>
              </w:rPr>
              <w:t>€ 1.400,00</w:t>
            </w:r>
          </w:p>
        </w:tc>
        <w:tc>
          <w:tcPr>
            <w:tcW w:w="2079" w:type="dxa"/>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Pr>
                <w:rFonts w:ascii="Arial" w:eastAsia="Times New Roman" w:hAnsi="Arial" w:cs="Arial"/>
                <w:sz w:val="20"/>
                <w:szCs w:val="20"/>
              </w:rPr>
              <w:t>€ 1.400,00</w:t>
            </w:r>
          </w:p>
        </w:tc>
      </w:tr>
      <w:tr w:rsidR="00582BBA" w:rsidRPr="002838BE" w:rsidTr="00582BBA">
        <w:tc>
          <w:tcPr>
            <w:tcW w:w="3510" w:type="dxa"/>
            <w:shd w:val="clear" w:color="auto" w:fill="D9D9D9"/>
          </w:tcPr>
          <w:p w:rsidR="00582BBA" w:rsidRPr="00B40C5E" w:rsidRDefault="00582BBA"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modifiche legislative previste sugli anni della previsione</w:t>
            </w:r>
          </w:p>
        </w:tc>
        <w:tc>
          <w:tcPr>
            <w:tcW w:w="6237" w:type="dxa"/>
            <w:gridSpan w:val="3"/>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p>
        </w:tc>
      </w:tr>
      <w:tr w:rsidR="00582BBA" w:rsidRPr="002838BE" w:rsidTr="00582BBA">
        <w:tc>
          <w:tcPr>
            <w:tcW w:w="3510" w:type="dxa"/>
            <w:shd w:val="clear" w:color="auto" w:fill="D9D9D9"/>
          </w:tcPr>
          <w:p w:rsidR="00582BBA" w:rsidRPr="00B40C5E" w:rsidRDefault="00582BBA"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alla modifica delle tariffe</w:t>
            </w:r>
          </w:p>
        </w:tc>
        <w:tc>
          <w:tcPr>
            <w:tcW w:w="6237" w:type="dxa"/>
            <w:gridSpan w:val="3"/>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Si tenga presente che il DDL di stabilità 2016 prevede per il 2016 il blocco degli aumenti dei tributi locali, ad eccezione della TARI</w:t>
            </w:r>
          </w:p>
        </w:tc>
      </w:tr>
      <w:tr w:rsidR="00582BBA" w:rsidRPr="002838BE" w:rsidTr="00582BBA">
        <w:tc>
          <w:tcPr>
            <w:tcW w:w="3510" w:type="dxa"/>
            <w:shd w:val="clear" w:color="auto" w:fill="D9D9D9"/>
          </w:tcPr>
          <w:p w:rsidR="00582BBA" w:rsidRPr="00B40C5E" w:rsidRDefault="00582BBA"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dalla legge</w:t>
            </w:r>
          </w:p>
        </w:tc>
        <w:tc>
          <w:tcPr>
            <w:tcW w:w="6237" w:type="dxa"/>
            <w:gridSpan w:val="3"/>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582BBA" w:rsidRPr="00B40C5E" w:rsidRDefault="00582BBA"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582BBA" w:rsidRPr="002838BE" w:rsidTr="00582BBA">
        <w:tc>
          <w:tcPr>
            <w:tcW w:w="3510" w:type="dxa"/>
            <w:shd w:val="clear" w:color="auto" w:fill="D9D9D9"/>
          </w:tcPr>
          <w:p w:rsidR="00582BBA" w:rsidRPr="00B40C5E" w:rsidRDefault="00582BBA"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 regolamento</w:t>
            </w:r>
          </w:p>
        </w:tc>
        <w:tc>
          <w:tcPr>
            <w:tcW w:w="6237" w:type="dxa"/>
            <w:gridSpan w:val="3"/>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582BBA" w:rsidRPr="00B40C5E" w:rsidRDefault="00582BBA"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582BBA" w:rsidRPr="002838BE" w:rsidTr="00582BBA">
        <w:tc>
          <w:tcPr>
            <w:tcW w:w="3510" w:type="dxa"/>
            <w:shd w:val="clear" w:color="auto" w:fill="D9D9D9"/>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c>
          <w:tcPr>
            <w:tcW w:w="6237" w:type="dxa"/>
            <w:gridSpan w:val="3"/>
            <w:shd w:val="clear" w:color="auto" w:fill="auto"/>
          </w:tcPr>
          <w:p w:rsidR="00582BBA" w:rsidRPr="00B40C5E" w:rsidRDefault="00582BBA" w:rsidP="00582BBA">
            <w:pPr>
              <w:autoSpaceDE w:val="0"/>
              <w:autoSpaceDN w:val="0"/>
              <w:adjustRightInd w:val="0"/>
              <w:ind w:right="-2"/>
              <w:contextualSpacing/>
              <w:jc w:val="both"/>
              <w:rPr>
                <w:rFonts w:ascii="Arial" w:eastAsia="Times New Roman" w:hAnsi="Arial" w:cs="Arial"/>
                <w:sz w:val="20"/>
                <w:szCs w:val="20"/>
              </w:rPr>
            </w:pPr>
          </w:p>
        </w:tc>
      </w:tr>
    </w:tbl>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contextualSpacing/>
        <w:jc w:val="both"/>
        <w:rPr>
          <w:rFonts w:ascii="Arial" w:eastAsia="Times New Roman" w:hAnsi="Arial" w:cs="Arial"/>
          <w:b/>
          <w:sz w:val="20"/>
          <w:szCs w:val="20"/>
        </w:rPr>
      </w:pPr>
      <w:r w:rsidRPr="002838BE">
        <w:rPr>
          <w:rFonts w:ascii="Arial" w:eastAsia="Times New Roman" w:hAnsi="Arial" w:cs="Arial"/>
          <w:b/>
          <w:sz w:val="20"/>
          <w:szCs w:val="20"/>
        </w:rPr>
        <w:t>IMPOSTA COMUNALE SULLA PUBBLICITA’ (ICP)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079"/>
        <w:gridCol w:w="2079"/>
        <w:gridCol w:w="2079"/>
      </w:tblGrid>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Principali norme di riferimento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Capo I del d.Lgs. n. 507/1993</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lastRenderedPageBreak/>
              <w:t>Gettito conseguito nel penultimo esercizio precedente</w:t>
            </w:r>
          </w:p>
        </w:tc>
        <w:tc>
          <w:tcPr>
            <w:tcW w:w="6237" w:type="dxa"/>
            <w:gridSpan w:val="3"/>
            <w:shd w:val="clear" w:color="auto" w:fill="auto"/>
          </w:tcPr>
          <w:p w:rsidR="008D66E6" w:rsidRPr="00B40C5E" w:rsidRDefault="009E0C91"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€ 99,32</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nell’anno precedente a quello di riferimento</w:t>
            </w:r>
          </w:p>
        </w:tc>
        <w:tc>
          <w:tcPr>
            <w:tcW w:w="6237" w:type="dxa"/>
            <w:gridSpan w:val="3"/>
            <w:shd w:val="clear" w:color="auto" w:fill="auto"/>
          </w:tcPr>
          <w:p w:rsidR="008D66E6" w:rsidRPr="00B40C5E" w:rsidRDefault="009E0C91"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€ 500,00</w:t>
            </w:r>
          </w:p>
        </w:tc>
      </w:tr>
      <w:tr w:rsidR="008D66E6" w:rsidRPr="002838BE" w:rsidTr="00582BBA">
        <w:tc>
          <w:tcPr>
            <w:tcW w:w="3510" w:type="dxa"/>
            <w:vMerge w:val="restart"/>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Gettito previsto nel triennio</w:t>
            </w:r>
          </w:p>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2016</w:t>
            </w: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2017</w:t>
            </w:r>
          </w:p>
        </w:tc>
        <w:tc>
          <w:tcPr>
            <w:tcW w:w="2079" w:type="dxa"/>
            <w:shd w:val="clear" w:color="auto" w:fill="D9D9D9"/>
          </w:tcPr>
          <w:p w:rsidR="008D66E6" w:rsidRPr="00B40C5E" w:rsidRDefault="008D66E6" w:rsidP="00582BBA">
            <w:pPr>
              <w:autoSpaceDE w:val="0"/>
              <w:autoSpaceDN w:val="0"/>
              <w:adjustRightInd w:val="0"/>
              <w:spacing w:before="120" w:after="120"/>
              <w:contextualSpacing/>
              <w:jc w:val="center"/>
              <w:rPr>
                <w:rFonts w:ascii="Arial" w:eastAsia="Times New Roman" w:hAnsi="Arial" w:cs="Arial"/>
                <w:b/>
                <w:sz w:val="20"/>
                <w:szCs w:val="20"/>
              </w:rPr>
            </w:pPr>
            <w:r w:rsidRPr="00B40C5E">
              <w:rPr>
                <w:rFonts w:ascii="Arial" w:eastAsia="Times New Roman" w:hAnsi="Arial" w:cs="Arial"/>
                <w:b/>
                <w:sz w:val="20"/>
                <w:szCs w:val="20"/>
              </w:rPr>
              <w:t>2018</w:t>
            </w:r>
          </w:p>
        </w:tc>
      </w:tr>
      <w:tr w:rsidR="008D66E6" w:rsidRPr="002838BE" w:rsidTr="00582BBA">
        <w:tc>
          <w:tcPr>
            <w:tcW w:w="3510" w:type="dxa"/>
            <w:vMerge/>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p>
        </w:tc>
        <w:tc>
          <w:tcPr>
            <w:tcW w:w="2079" w:type="dxa"/>
            <w:shd w:val="clear" w:color="auto" w:fill="auto"/>
          </w:tcPr>
          <w:p w:rsidR="008D66E6" w:rsidRPr="00B40C5E" w:rsidRDefault="009E0C91"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€ 150,00</w:t>
            </w:r>
          </w:p>
        </w:tc>
        <w:tc>
          <w:tcPr>
            <w:tcW w:w="2079" w:type="dxa"/>
            <w:shd w:val="clear" w:color="auto" w:fill="auto"/>
          </w:tcPr>
          <w:p w:rsidR="008D66E6" w:rsidRPr="00B40C5E" w:rsidRDefault="009E0C91"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€ 150,00</w:t>
            </w:r>
          </w:p>
        </w:tc>
        <w:tc>
          <w:tcPr>
            <w:tcW w:w="2079" w:type="dxa"/>
            <w:shd w:val="clear" w:color="auto" w:fill="auto"/>
          </w:tcPr>
          <w:p w:rsidR="008D66E6" w:rsidRPr="00B40C5E" w:rsidRDefault="009E0C91" w:rsidP="00582BBA">
            <w:pPr>
              <w:autoSpaceDE w:val="0"/>
              <w:autoSpaceDN w:val="0"/>
              <w:adjustRightInd w:val="0"/>
              <w:ind w:right="-2"/>
              <w:contextualSpacing/>
              <w:jc w:val="both"/>
              <w:rPr>
                <w:rFonts w:ascii="Arial" w:eastAsia="Times New Roman" w:hAnsi="Arial" w:cs="Arial"/>
                <w:sz w:val="20"/>
                <w:szCs w:val="20"/>
              </w:rPr>
            </w:pPr>
            <w:r>
              <w:rPr>
                <w:rFonts w:ascii="Arial" w:hAnsi="Arial" w:cs="Arial"/>
                <w:sz w:val="20"/>
                <w:szCs w:val="20"/>
              </w:rPr>
              <w:t>€ 150,00</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modifiche legislative previste sugli anni della previsione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alla modifica delle tariffe</w:t>
            </w:r>
          </w:p>
        </w:tc>
        <w:tc>
          <w:tcPr>
            <w:tcW w:w="6237" w:type="dxa"/>
            <w:gridSpan w:val="3"/>
            <w:shd w:val="clear" w:color="auto" w:fill="auto"/>
          </w:tcPr>
          <w:p w:rsidR="008D66E6" w:rsidRPr="00B40C5E" w:rsidRDefault="009E0C91" w:rsidP="009E0C91">
            <w:pPr>
              <w:autoSpaceDE w:val="0"/>
              <w:autoSpaceDN w:val="0"/>
              <w:adjustRightInd w:val="0"/>
              <w:ind w:right="-2"/>
              <w:contextualSpacing/>
              <w:jc w:val="both"/>
              <w:rPr>
                <w:rFonts w:ascii="Arial" w:eastAsia="Times New Roman" w:hAnsi="Arial" w:cs="Arial"/>
                <w:sz w:val="20"/>
                <w:szCs w:val="20"/>
              </w:rPr>
            </w:pPr>
            <w:r>
              <w:rPr>
                <w:rFonts w:ascii="Arial" w:hAnsi="Arial" w:cs="Arial"/>
                <w:i/>
                <w:sz w:val="20"/>
                <w:szCs w:val="20"/>
              </w:rPr>
              <w:t xml:space="preserve">Non si sono previste modifiche, in quanto </w:t>
            </w:r>
            <w:r w:rsidR="008D66E6" w:rsidRPr="00B40C5E">
              <w:rPr>
                <w:rFonts w:ascii="Arial" w:eastAsia="Times New Roman" w:hAnsi="Arial" w:cs="Arial"/>
                <w:i/>
                <w:sz w:val="20"/>
                <w:szCs w:val="20"/>
              </w:rPr>
              <w:t xml:space="preserve"> il DDL di stabilità 2016 prevede per il 2016 il blocco degli aumenti dei tributi locali, ad eccezione della TARI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dalla legge</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b/>
                <w:sz w:val="20"/>
                <w:szCs w:val="20"/>
              </w:rPr>
            </w:pPr>
            <w:r w:rsidRPr="00B40C5E">
              <w:rPr>
                <w:rFonts w:ascii="Arial" w:eastAsia="Times New Roman" w:hAnsi="Arial" w:cs="Arial"/>
                <w:b/>
                <w:sz w:val="20"/>
                <w:szCs w:val="20"/>
              </w:rPr>
              <w:t>Effetti connessi a disposizioni recanti esenzioni e riduzioni previsti dal regolamento</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Natura delle agevolazioni</w:t>
            </w:r>
          </w:p>
          <w:p w:rsidR="008D66E6" w:rsidRPr="00B40C5E" w:rsidRDefault="008D66E6" w:rsidP="00582BBA">
            <w:pPr>
              <w:autoSpaceDE w:val="0"/>
              <w:autoSpaceDN w:val="0"/>
              <w:adjustRightInd w:val="0"/>
              <w:ind w:right="-2"/>
              <w:contextualSpacing/>
              <w:jc w:val="both"/>
              <w:rPr>
                <w:rFonts w:ascii="Arial" w:eastAsia="Times New Roman" w:hAnsi="Arial" w:cs="Arial"/>
                <w:i/>
                <w:sz w:val="20"/>
                <w:szCs w:val="20"/>
              </w:rPr>
            </w:pPr>
            <w:r w:rsidRPr="00B40C5E">
              <w:rPr>
                <w:rFonts w:ascii="Arial" w:eastAsia="Times New Roman" w:hAnsi="Arial" w:cs="Arial"/>
                <w:i/>
                <w:sz w:val="20"/>
                <w:szCs w:val="20"/>
              </w:rPr>
              <w:t>Soggetti e categorie di beneficiari</w:t>
            </w:r>
          </w:p>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i/>
                <w:sz w:val="20"/>
                <w:szCs w:val="20"/>
              </w:rPr>
              <w:t>Obiettivi perseguiti</w:t>
            </w:r>
          </w:p>
        </w:tc>
      </w:tr>
      <w:tr w:rsidR="008D66E6" w:rsidRPr="002838BE" w:rsidTr="00582BBA">
        <w:tc>
          <w:tcPr>
            <w:tcW w:w="3510" w:type="dxa"/>
            <w:shd w:val="clear" w:color="auto" w:fill="D9D9D9"/>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r w:rsidRPr="00B40C5E">
              <w:rPr>
                <w:rFonts w:ascii="Arial" w:eastAsia="Times New Roman" w:hAnsi="Arial" w:cs="Arial"/>
                <w:sz w:val="20"/>
                <w:szCs w:val="20"/>
              </w:rPr>
              <w:t>……………………………………</w:t>
            </w:r>
          </w:p>
        </w:tc>
        <w:tc>
          <w:tcPr>
            <w:tcW w:w="6237" w:type="dxa"/>
            <w:gridSpan w:val="3"/>
            <w:shd w:val="clear" w:color="auto" w:fill="auto"/>
          </w:tcPr>
          <w:p w:rsidR="008D66E6" w:rsidRPr="00B40C5E" w:rsidRDefault="008D66E6" w:rsidP="00582BBA">
            <w:pPr>
              <w:autoSpaceDE w:val="0"/>
              <w:autoSpaceDN w:val="0"/>
              <w:adjustRightInd w:val="0"/>
              <w:ind w:right="-2"/>
              <w:contextualSpacing/>
              <w:jc w:val="both"/>
              <w:rPr>
                <w:rFonts w:ascii="Arial" w:eastAsia="Times New Roman" w:hAnsi="Arial" w:cs="Arial"/>
                <w:sz w:val="20"/>
                <w:szCs w:val="20"/>
              </w:rPr>
            </w:pPr>
          </w:p>
        </w:tc>
      </w:tr>
    </w:tbl>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p>
    <w:p w:rsidR="008D66E6" w:rsidRPr="002838BE" w:rsidRDefault="008D66E6" w:rsidP="008D66E6">
      <w:pPr>
        <w:autoSpaceDE w:val="0"/>
        <w:autoSpaceDN w:val="0"/>
        <w:adjustRightInd w:val="0"/>
        <w:ind w:right="-2"/>
        <w:jc w:val="both"/>
        <w:rPr>
          <w:rFonts w:ascii="Arial" w:eastAsia="Times New Roman" w:hAnsi="Arial" w:cs="Arial"/>
          <w:sz w:val="20"/>
          <w:szCs w:val="20"/>
        </w:rPr>
      </w:pPr>
      <w:r w:rsidRPr="002838BE">
        <w:rPr>
          <w:rFonts w:ascii="Arial" w:eastAsia="Times New Roman" w:hAnsi="Arial" w:cs="Arial"/>
          <w:sz w:val="20"/>
          <w:szCs w:val="20"/>
        </w:rPr>
        <w:t>Inoltre per le seguenti entrate si mettono in evidenza alcuni aspetti qualificanti delle previsioni:</w:t>
      </w:r>
    </w:p>
    <w:p w:rsidR="008D66E6" w:rsidRPr="002838BE" w:rsidRDefault="008D66E6" w:rsidP="008D66E6">
      <w:pPr>
        <w:autoSpaceDE w:val="0"/>
        <w:autoSpaceDN w:val="0"/>
        <w:adjustRightInd w:val="0"/>
        <w:ind w:right="-2"/>
        <w:jc w:val="both"/>
        <w:rPr>
          <w:rFonts w:ascii="Arial" w:eastAsia="Times New Roman" w:hAnsi="Arial" w:cs="Arial"/>
          <w:sz w:val="20"/>
          <w:szCs w:val="20"/>
        </w:rPr>
      </w:pPr>
    </w:p>
    <w:p w:rsidR="008D66E6" w:rsidRPr="002838BE" w:rsidRDefault="008D66E6" w:rsidP="008D66E6">
      <w:pPr>
        <w:autoSpaceDE w:val="0"/>
        <w:autoSpaceDN w:val="0"/>
        <w:adjustRightInd w:val="0"/>
        <w:ind w:right="-2"/>
        <w:jc w:val="both"/>
        <w:rPr>
          <w:rFonts w:ascii="Arial" w:eastAsia="Times New Roman" w:hAnsi="Arial" w:cs="Arial"/>
          <w:b/>
          <w:sz w:val="20"/>
          <w:szCs w:val="20"/>
        </w:rPr>
      </w:pPr>
      <w:r w:rsidRPr="002838BE">
        <w:rPr>
          <w:rFonts w:ascii="Arial" w:eastAsia="Times New Roman" w:hAnsi="Arial" w:cs="Arial"/>
          <w:b/>
          <w:sz w:val="20"/>
          <w:szCs w:val="20"/>
        </w:rPr>
        <w:t>Proventi recupero evasione tributaria</w:t>
      </w:r>
    </w:p>
    <w:p w:rsidR="008D66E6" w:rsidRDefault="009E0C91" w:rsidP="008D66E6">
      <w:pPr>
        <w:autoSpaceDE w:val="0"/>
        <w:autoSpaceDN w:val="0"/>
        <w:adjustRightInd w:val="0"/>
        <w:ind w:right="-2"/>
        <w:jc w:val="both"/>
        <w:rPr>
          <w:sz w:val="20"/>
          <w:szCs w:val="20"/>
        </w:rPr>
      </w:pPr>
      <w:r>
        <w:rPr>
          <w:rFonts w:ascii="Arial" w:hAnsi="Arial" w:cs="Arial"/>
          <w:sz w:val="20"/>
          <w:szCs w:val="20"/>
        </w:rPr>
        <w:t xml:space="preserve"> </w:t>
      </w:r>
      <w:r>
        <w:rPr>
          <w:sz w:val="20"/>
          <w:szCs w:val="20"/>
        </w:rPr>
        <w:t>L’attività di recupero relativa all’evasione tributaria costituisce per le Amministrazioni Comunali un’opportunità per attuare una politica impositiva più equa nei confronti della propria cittadinanza e allo stesso tempo permette di recuperare risorse da poter destinare alla realizzazione dei propri obbiettivi.</w:t>
      </w:r>
    </w:p>
    <w:p w:rsidR="009E0C91" w:rsidRPr="002838BE" w:rsidRDefault="009E0C91" w:rsidP="008D66E6">
      <w:pPr>
        <w:autoSpaceDE w:val="0"/>
        <w:autoSpaceDN w:val="0"/>
        <w:adjustRightInd w:val="0"/>
        <w:ind w:right="-2"/>
        <w:jc w:val="both"/>
        <w:rPr>
          <w:rFonts w:ascii="Arial" w:eastAsia="Times New Roman" w:hAnsi="Arial" w:cs="Arial"/>
          <w:sz w:val="20"/>
          <w:szCs w:val="20"/>
        </w:rPr>
      </w:pPr>
      <w:r>
        <w:rPr>
          <w:sz w:val="20"/>
          <w:szCs w:val="20"/>
        </w:rPr>
        <w:t>L’Ufficio Tributi ha provveduto entro il 31 dicembre 2015 ha inviare gli accertamenti  per ici/Imu.</w:t>
      </w:r>
    </w:p>
    <w:p w:rsidR="008D66E6" w:rsidRPr="002838BE" w:rsidRDefault="008D66E6" w:rsidP="008D66E6">
      <w:pPr>
        <w:autoSpaceDE w:val="0"/>
        <w:autoSpaceDN w:val="0"/>
        <w:adjustRightInd w:val="0"/>
        <w:ind w:right="-2"/>
        <w:jc w:val="both"/>
        <w:rPr>
          <w:rFonts w:ascii="Arial" w:eastAsia="Times New Roman" w:hAnsi="Arial" w:cs="Arial"/>
          <w:b/>
          <w:sz w:val="20"/>
          <w:szCs w:val="20"/>
        </w:rPr>
      </w:pPr>
      <w:r w:rsidRPr="002838BE">
        <w:rPr>
          <w:rFonts w:ascii="Arial" w:eastAsia="Times New Roman" w:hAnsi="Arial" w:cs="Arial"/>
          <w:b/>
          <w:sz w:val="20"/>
          <w:szCs w:val="20"/>
        </w:rPr>
        <w:t>Fondo di solidarietà comunale</w:t>
      </w:r>
    </w:p>
    <w:p w:rsidR="008D66E6" w:rsidRDefault="009E0C91" w:rsidP="008D66E6">
      <w:pPr>
        <w:autoSpaceDE w:val="0"/>
        <w:autoSpaceDN w:val="0"/>
        <w:adjustRightInd w:val="0"/>
        <w:ind w:right="-2"/>
        <w:jc w:val="both"/>
        <w:rPr>
          <w:rFonts w:ascii="Arial" w:hAnsi="Arial" w:cs="Arial"/>
          <w:sz w:val="20"/>
          <w:szCs w:val="20"/>
        </w:rPr>
      </w:pPr>
      <w:r>
        <w:rPr>
          <w:rFonts w:ascii="Arial" w:hAnsi="Arial" w:cs="Arial"/>
          <w:sz w:val="20"/>
          <w:szCs w:val="20"/>
        </w:rPr>
        <w:t xml:space="preserve">Il fondo di solidarietà comunale ha subito nel corso degli anni un continuo taglio. Il più rilevante è stato sicuramente dovuto all’introduzione dell’Imu Agricola che ha determinato per il comune di Sorradile un taglio pari ad €   </w:t>
      </w:r>
    </w:p>
    <w:tbl>
      <w:tblPr>
        <w:tblW w:w="3730" w:type="pct"/>
        <w:tblCellSpacing w:w="15" w:type="dxa"/>
        <w:tblBorders>
          <w:top w:val="single" w:sz="6" w:space="0" w:color="528DBE"/>
          <w:left w:val="single" w:sz="6" w:space="0" w:color="528DBE"/>
          <w:bottom w:val="single" w:sz="6" w:space="0" w:color="528DBE"/>
          <w:right w:val="single" w:sz="6" w:space="0" w:color="528DBE"/>
        </w:tblBorders>
        <w:shd w:val="clear" w:color="auto" w:fill="FFFFFF"/>
        <w:tblCellMar>
          <w:top w:w="15" w:type="dxa"/>
          <w:left w:w="30" w:type="dxa"/>
          <w:bottom w:w="15" w:type="dxa"/>
          <w:right w:w="30" w:type="dxa"/>
        </w:tblCellMar>
        <w:tblLook w:val="04A0"/>
      </w:tblPr>
      <w:tblGrid>
        <w:gridCol w:w="5385"/>
        <w:gridCol w:w="719"/>
        <w:gridCol w:w="1205"/>
      </w:tblGrid>
      <w:tr w:rsidR="00582BBA" w:rsidRPr="00582BBA" w:rsidTr="00582BBA">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97CBFF"/>
            <w:vAlign w:val="center"/>
            <w:hideMark/>
          </w:tcPr>
          <w:p w:rsidR="00582BBA" w:rsidRPr="00582BBA" w:rsidRDefault="00582BBA" w:rsidP="00582BBA">
            <w:pPr>
              <w:spacing w:before="100" w:beforeAutospacing="1" w:after="100" w:afterAutospacing="1" w:line="240" w:lineRule="auto"/>
              <w:jc w:val="center"/>
              <w:rPr>
                <w:rFonts w:ascii="Arial" w:eastAsia="Times New Roman" w:hAnsi="Arial" w:cs="Arial"/>
                <w:b/>
                <w:bCs/>
                <w:color w:val="000000"/>
                <w:sz w:val="18"/>
                <w:szCs w:val="18"/>
              </w:rPr>
            </w:pPr>
            <w:r w:rsidRPr="00582BBA">
              <w:rPr>
                <w:rFonts w:ascii="Arial" w:eastAsia="Times New Roman" w:hAnsi="Arial" w:cs="Arial"/>
                <w:b/>
                <w:bCs/>
                <w:color w:val="000000"/>
                <w:sz w:val="18"/>
                <w:szCs w:val="18"/>
              </w:rPr>
              <w:t>FONDO DI SOLIDARIETA' COMUNALE 2015</w:t>
            </w:r>
          </w:p>
        </w:tc>
        <w:tc>
          <w:tcPr>
            <w:tcW w:w="1275" w:type="pct"/>
            <w:gridSpan w:val="2"/>
            <w:tcBorders>
              <w:top w:val="single" w:sz="8" w:space="0" w:color="000000"/>
              <w:left w:val="single" w:sz="8" w:space="0" w:color="000000"/>
              <w:bottom w:val="single" w:sz="8" w:space="0" w:color="000000"/>
              <w:right w:val="single" w:sz="8" w:space="0" w:color="000000"/>
            </w:tcBorders>
            <w:shd w:val="clear" w:color="auto" w:fill="DDEEFF"/>
            <w:vAlign w:val="bottom"/>
            <w:hideMark/>
          </w:tcPr>
          <w:p w:rsidR="00582BBA" w:rsidRPr="00582BBA" w:rsidRDefault="00582BBA" w:rsidP="00582BBA">
            <w:pPr>
              <w:spacing w:before="100" w:beforeAutospacing="1" w:after="100" w:afterAutospacing="1" w:line="240" w:lineRule="auto"/>
              <w:jc w:val="right"/>
              <w:rPr>
                <w:rFonts w:ascii="Arial" w:eastAsia="Times New Roman" w:hAnsi="Arial" w:cs="Arial"/>
                <w:color w:val="000000"/>
                <w:sz w:val="18"/>
                <w:szCs w:val="18"/>
              </w:rPr>
            </w:pPr>
            <w:r w:rsidRPr="00582BBA">
              <w:rPr>
                <w:rFonts w:ascii="Arial" w:eastAsia="Times New Roman" w:hAnsi="Arial" w:cs="Arial"/>
                <w:color w:val="000000"/>
                <w:sz w:val="18"/>
                <w:szCs w:val="18"/>
              </w:rPr>
              <w:t>  114.482,56</w:t>
            </w:r>
          </w:p>
        </w:tc>
      </w:tr>
      <w:tr w:rsidR="00582BBA" w:rsidRPr="00582BBA" w:rsidTr="00582BBA">
        <w:trPr>
          <w:trHeight w:val="424"/>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97CBFF"/>
            <w:vAlign w:val="center"/>
            <w:hideMark/>
          </w:tcPr>
          <w:p w:rsidR="00582BBA" w:rsidRPr="00582BBA" w:rsidRDefault="00582BBA" w:rsidP="00582BBA">
            <w:pPr>
              <w:spacing w:before="100" w:beforeAutospacing="1" w:after="100" w:afterAutospacing="1" w:line="240" w:lineRule="auto"/>
              <w:jc w:val="center"/>
              <w:rPr>
                <w:rFonts w:ascii="Arial" w:eastAsia="Times New Roman" w:hAnsi="Arial" w:cs="Arial"/>
                <w:b/>
                <w:bCs/>
                <w:color w:val="000000"/>
                <w:sz w:val="18"/>
                <w:szCs w:val="18"/>
              </w:rPr>
            </w:pPr>
            <w:r w:rsidRPr="00582BBA">
              <w:rPr>
                <w:rFonts w:ascii="Arial" w:eastAsia="Times New Roman" w:hAnsi="Arial" w:cs="Arial"/>
                <w:b/>
                <w:bCs/>
                <w:color w:val="000000"/>
                <w:sz w:val="18"/>
                <w:szCs w:val="18"/>
              </w:rPr>
              <w:t>Variazione 2015 per effetto IMU Terreni agricoli</w:t>
            </w:r>
          </w:p>
        </w:tc>
        <w:tc>
          <w:tcPr>
            <w:tcW w:w="1275" w:type="pct"/>
            <w:gridSpan w:val="2"/>
            <w:tcBorders>
              <w:top w:val="single" w:sz="8" w:space="0" w:color="000000"/>
              <w:left w:val="single" w:sz="8" w:space="0" w:color="000000"/>
              <w:bottom w:val="single" w:sz="8" w:space="0" w:color="000000"/>
              <w:right w:val="single" w:sz="8" w:space="0" w:color="000000"/>
            </w:tcBorders>
            <w:shd w:val="clear" w:color="auto" w:fill="DDEEFF"/>
            <w:vAlign w:val="bottom"/>
            <w:hideMark/>
          </w:tcPr>
          <w:p w:rsidR="00582BBA" w:rsidRPr="00582BBA" w:rsidRDefault="00582BBA" w:rsidP="00582BBA">
            <w:pPr>
              <w:spacing w:before="100" w:beforeAutospacing="1" w:after="100" w:afterAutospacing="1" w:line="240" w:lineRule="auto"/>
              <w:jc w:val="right"/>
              <w:rPr>
                <w:rFonts w:ascii="Arial" w:eastAsia="Times New Roman" w:hAnsi="Arial" w:cs="Arial"/>
                <w:color w:val="000000"/>
                <w:sz w:val="18"/>
                <w:szCs w:val="18"/>
              </w:rPr>
            </w:pPr>
            <w:r w:rsidRPr="00582BBA">
              <w:rPr>
                <w:rFonts w:ascii="Arial" w:eastAsia="Times New Roman" w:hAnsi="Arial" w:cs="Arial"/>
                <w:color w:val="000000"/>
                <w:sz w:val="18"/>
                <w:szCs w:val="18"/>
              </w:rPr>
              <w:t>  -33.614,06</w:t>
            </w:r>
          </w:p>
        </w:tc>
      </w:tr>
      <w:tr w:rsidR="00582BBA" w:rsidRPr="00582BBA" w:rsidTr="00582BBA">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97CBFF"/>
            <w:vAlign w:val="center"/>
            <w:hideMark/>
          </w:tcPr>
          <w:p w:rsidR="00582BBA" w:rsidRPr="00582BBA" w:rsidRDefault="00582BBA" w:rsidP="00582BBA">
            <w:pPr>
              <w:spacing w:before="100" w:beforeAutospacing="1" w:after="100" w:afterAutospacing="1" w:line="240" w:lineRule="auto"/>
              <w:jc w:val="center"/>
              <w:rPr>
                <w:rFonts w:ascii="Arial" w:eastAsia="Times New Roman" w:hAnsi="Arial" w:cs="Arial"/>
                <w:b/>
                <w:bCs/>
                <w:color w:val="000000"/>
                <w:sz w:val="18"/>
                <w:szCs w:val="18"/>
              </w:rPr>
            </w:pPr>
            <w:r w:rsidRPr="00582BBA">
              <w:rPr>
                <w:rFonts w:ascii="Arial" w:eastAsia="Times New Roman" w:hAnsi="Arial" w:cs="Arial"/>
                <w:b/>
                <w:bCs/>
                <w:color w:val="000000"/>
                <w:sz w:val="18"/>
                <w:szCs w:val="18"/>
              </w:rPr>
              <w:t>FONDO DI SOLIDARIETA' COMUNALE 2015 FINALE</w:t>
            </w:r>
          </w:p>
        </w:tc>
        <w:tc>
          <w:tcPr>
            <w:tcW w:w="1275" w:type="pct"/>
            <w:gridSpan w:val="2"/>
            <w:tcBorders>
              <w:top w:val="single" w:sz="8" w:space="0" w:color="000000"/>
              <w:left w:val="single" w:sz="8" w:space="0" w:color="000000"/>
              <w:bottom w:val="single" w:sz="8" w:space="0" w:color="000000"/>
              <w:right w:val="single" w:sz="8" w:space="0" w:color="000000"/>
            </w:tcBorders>
            <w:shd w:val="clear" w:color="auto" w:fill="DDEEFF"/>
            <w:vAlign w:val="bottom"/>
            <w:hideMark/>
          </w:tcPr>
          <w:p w:rsidR="00582BBA" w:rsidRPr="00582BBA" w:rsidRDefault="00582BBA" w:rsidP="00582BBA">
            <w:pPr>
              <w:spacing w:before="100" w:beforeAutospacing="1" w:after="100" w:afterAutospacing="1" w:line="240" w:lineRule="auto"/>
              <w:jc w:val="right"/>
              <w:rPr>
                <w:rFonts w:ascii="Arial" w:eastAsia="Times New Roman" w:hAnsi="Arial" w:cs="Arial"/>
                <w:color w:val="000000"/>
                <w:sz w:val="18"/>
                <w:szCs w:val="18"/>
              </w:rPr>
            </w:pPr>
            <w:r w:rsidRPr="00582BBA">
              <w:rPr>
                <w:rFonts w:ascii="Arial" w:eastAsia="Times New Roman" w:hAnsi="Arial" w:cs="Arial"/>
                <w:color w:val="000000"/>
                <w:sz w:val="18"/>
                <w:szCs w:val="18"/>
              </w:rPr>
              <w:t>  80.868,50</w:t>
            </w:r>
          </w:p>
        </w:tc>
      </w:tr>
      <w:tr w:rsidR="00582BBA" w:rsidRPr="00582BBA" w:rsidTr="00582BBA">
        <w:trPr>
          <w:tblCellSpacing w:w="15" w:type="dxa"/>
        </w:trPr>
        <w:tc>
          <w:tcPr>
            <w:tcW w:w="4959" w:type="pct"/>
            <w:gridSpan w:val="3"/>
            <w:shd w:val="clear" w:color="auto" w:fill="FFFFFF"/>
            <w:vAlign w:val="center"/>
            <w:hideMark/>
          </w:tcPr>
          <w:p w:rsidR="00582BBA" w:rsidRPr="00582BBA" w:rsidRDefault="00582BBA" w:rsidP="00582BBA">
            <w:pPr>
              <w:spacing w:before="100" w:beforeAutospacing="1" w:after="100" w:afterAutospacing="1" w:line="240" w:lineRule="auto"/>
              <w:jc w:val="center"/>
              <w:rPr>
                <w:rFonts w:ascii="Arial" w:eastAsia="Times New Roman" w:hAnsi="Arial" w:cs="Arial"/>
                <w:color w:val="333333"/>
                <w:sz w:val="18"/>
                <w:szCs w:val="18"/>
              </w:rPr>
            </w:pPr>
            <w:r w:rsidRPr="00582BBA">
              <w:rPr>
                <w:rFonts w:ascii="Arial" w:eastAsia="Times New Roman" w:hAnsi="Arial" w:cs="Arial"/>
                <w:color w:val="333333"/>
                <w:sz w:val="18"/>
                <w:szCs w:val="18"/>
              </w:rPr>
              <w:t>Nel caso di risultato algebrico negativo il recupero avverrà tramite Agenzia delle Entrate</w:t>
            </w:r>
          </w:p>
        </w:tc>
      </w:tr>
      <w:tr w:rsidR="00582BBA" w:rsidRPr="00582BBA" w:rsidTr="00582BBA">
        <w:trPr>
          <w:tblCellSpacing w:w="15" w:type="dxa"/>
        </w:trPr>
        <w:tc>
          <w:tcPr>
            <w:tcW w:w="4959" w:type="pct"/>
            <w:gridSpan w:val="3"/>
            <w:shd w:val="clear" w:color="auto" w:fill="FFFFFF"/>
            <w:vAlign w:val="center"/>
            <w:hideMark/>
          </w:tcPr>
          <w:p w:rsidR="00582BBA" w:rsidRPr="00582BBA" w:rsidRDefault="00582BBA" w:rsidP="00582BBA">
            <w:pPr>
              <w:spacing w:before="100" w:beforeAutospacing="1" w:after="100" w:afterAutospacing="1" w:line="240" w:lineRule="auto"/>
              <w:jc w:val="center"/>
              <w:rPr>
                <w:rFonts w:ascii="Arial" w:eastAsia="Times New Roman" w:hAnsi="Arial" w:cs="Arial"/>
                <w:color w:val="333333"/>
                <w:sz w:val="18"/>
                <w:szCs w:val="18"/>
              </w:rPr>
            </w:pPr>
            <w:r w:rsidRPr="00582BBA">
              <w:rPr>
                <w:rFonts w:ascii="Arial" w:eastAsia="Times New Roman" w:hAnsi="Arial" w:cs="Arial"/>
                <w:color w:val="333333"/>
                <w:sz w:val="18"/>
                <w:szCs w:val="18"/>
              </w:rPr>
              <w:t>Recupero dell'Agenzia delle Entrate relativo a:</w:t>
            </w:r>
          </w:p>
        </w:tc>
      </w:tr>
      <w:tr w:rsidR="00582BBA" w:rsidRPr="00582BBA" w:rsidTr="00582BBA">
        <w:trPr>
          <w:tblCellSpacing w:w="15"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7CBFF"/>
            <w:vAlign w:val="center"/>
            <w:hideMark/>
          </w:tcPr>
          <w:p w:rsidR="00582BBA" w:rsidRPr="00582BBA" w:rsidRDefault="00582BBA" w:rsidP="00582BBA">
            <w:pPr>
              <w:spacing w:before="100" w:beforeAutospacing="1" w:after="100" w:afterAutospacing="1" w:line="240" w:lineRule="auto"/>
              <w:jc w:val="center"/>
              <w:rPr>
                <w:rFonts w:ascii="Arial" w:eastAsia="Times New Roman" w:hAnsi="Arial" w:cs="Arial"/>
                <w:b/>
                <w:bCs/>
                <w:color w:val="000000"/>
                <w:sz w:val="18"/>
                <w:szCs w:val="18"/>
              </w:rPr>
            </w:pPr>
            <w:r w:rsidRPr="00582BBA">
              <w:rPr>
                <w:rFonts w:ascii="Arial" w:eastAsia="Times New Roman" w:hAnsi="Arial" w:cs="Arial"/>
                <w:b/>
                <w:bCs/>
                <w:color w:val="000000"/>
                <w:sz w:val="18"/>
                <w:szCs w:val="18"/>
              </w:rPr>
              <w:t>Quota per alimentare F.S.C. 2015 (38,23% calcolato su IMU standard 2015)</w:t>
            </w:r>
          </w:p>
        </w:tc>
        <w:tc>
          <w:tcPr>
            <w:tcW w:w="800" w:type="pct"/>
            <w:tcBorders>
              <w:top w:val="single" w:sz="8" w:space="0" w:color="000000"/>
              <w:left w:val="single" w:sz="8" w:space="0" w:color="000000"/>
              <w:bottom w:val="single" w:sz="8" w:space="0" w:color="000000"/>
              <w:right w:val="single" w:sz="8" w:space="0" w:color="000000"/>
            </w:tcBorders>
            <w:shd w:val="clear" w:color="auto" w:fill="DDEEFF"/>
            <w:vAlign w:val="bottom"/>
            <w:hideMark/>
          </w:tcPr>
          <w:p w:rsidR="00582BBA" w:rsidRPr="00582BBA" w:rsidRDefault="00582BBA" w:rsidP="00582BBA">
            <w:pPr>
              <w:spacing w:before="100" w:beforeAutospacing="1" w:after="100" w:afterAutospacing="1" w:line="240" w:lineRule="auto"/>
              <w:jc w:val="right"/>
              <w:rPr>
                <w:rFonts w:ascii="Arial" w:eastAsia="Times New Roman" w:hAnsi="Arial" w:cs="Arial"/>
                <w:color w:val="000000"/>
                <w:sz w:val="18"/>
                <w:szCs w:val="18"/>
              </w:rPr>
            </w:pPr>
            <w:r w:rsidRPr="00582BBA">
              <w:rPr>
                <w:rFonts w:ascii="Arial" w:eastAsia="Times New Roman" w:hAnsi="Arial" w:cs="Arial"/>
                <w:color w:val="000000"/>
                <w:sz w:val="18"/>
                <w:szCs w:val="18"/>
              </w:rPr>
              <w:t>  -18.501,84</w:t>
            </w:r>
          </w:p>
        </w:tc>
      </w:tr>
    </w:tbl>
    <w:p w:rsidR="00582BBA" w:rsidRDefault="00582BBA" w:rsidP="008D66E6">
      <w:pPr>
        <w:autoSpaceDE w:val="0"/>
        <w:autoSpaceDN w:val="0"/>
        <w:adjustRightInd w:val="0"/>
        <w:ind w:right="-2"/>
        <w:jc w:val="both"/>
        <w:rPr>
          <w:rFonts w:ascii="Arial" w:hAnsi="Arial" w:cs="Arial"/>
          <w:sz w:val="20"/>
          <w:szCs w:val="20"/>
        </w:rPr>
      </w:pPr>
    </w:p>
    <w:p w:rsidR="00582BBA" w:rsidRDefault="00582BBA" w:rsidP="008D66E6">
      <w:pPr>
        <w:autoSpaceDE w:val="0"/>
        <w:autoSpaceDN w:val="0"/>
        <w:adjustRightInd w:val="0"/>
        <w:ind w:right="-2"/>
        <w:jc w:val="both"/>
        <w:rPr>
          <w:rFonts w:ascii="Arial" w:hAnsi="Arial" w:cs="Arial"/>
          <w:sz w:val="20"/>
          <w:szCs w:val="20"/>
        </w:rPr>
      </w:pPr>
    </w:p>
    <w:p w:rsidR="00582BBA" w:rsidRDefault="00582BBA" w:rsidP="008D66E6">
      <w:pPr>
        <w:autoSpaceDE w:val="0"/>
        <w:autoSpaceDN w:val="0"/>
        <w:adjustRightInd w:val="0"/>
        <w:ind w:right="-2"/>
        <w:jc w:val="both"/>
        <w:rPr>
          <w:rFonts w:ascii="Arial" w:hAnsi="Arial" w:cs="Arial"/>
          <w:sz w:val="20"/>
          <w:szCs w:val="20"/>
        </w:rPr>
      </w:pPr>
    </w:p>
    <w:p w:rsidR="009E0C91" w:rsidRPr="002838BE" w:rsidRDefault="009E0C91" w:rsidP="008D66E6">
      <w:pPr>
        <w:autoSpaceDE w:val="0"/>
        <w:autoSpaceDN w:val="0"/>
        <w:adjustRightInd w:val="0"/>
        <w:ind w:right="-2"/>
        <w:jc w:val="both"/>
        <w:rPr>
          <w:rFonts w:ascii="Arial" w:eastAsia="Times New Roman" w:hAnsi="Arial" w:cs="Arial"/>
          <w:sz w:val="20"/>
          <w:szCs w:val="20"/>
        </w:rPr>
      </w:pPr>
      <w:r>
        <w:rPr>
          <w:rFonts w:ascii="Arial" w:hAnsi="Arial" w:cs="Arial"/>
          <w:sz w:val="20"/>
          <w:szCs w:val="20"/>
        </w:rPr>
        <w:lastRenderedPageBreak/>
        <w:t>Si è previsto per l’anno 2016 di confermate l’importo assegnato nel 2015 in attesa della pubblicazione delle spettanze da parte del Ministero. Poichè  si prevede per il 2016 il taglio dell’Imu agricolo e modifiche nell’applicazione dell’IMU sulle abitazioni.</w:t>
      </w:r>
    </w:p>
    <w:p w:rsidR="008D66E6" w:rsidRPr="002838BE" w:rsidRDefault="008D66E6" w:rsidP="008D66E6">
      <w:pPr>
        <w:autoSpaceDE w:val="0"/>
        <w:autoSpaceDN w:val="0"/>
        <w:adjustRightInd w:val="0"/>
        <w:ind w:right="-2"/>
        <w:jc w:val="both"/>
        <w:rPr>
          <w:rFonts w:ascii="Arial" w:eastAsia="Times New Roman" w:hAnsi="Arial" w:cs="Arial"/>
          <w:b/>
          <w:sz w:val="20"/>
          <w:szCs w:val="20"/>
        </w:rPr>
      </w:pPr>
      <w:r w:rsidRPr="002838BE">
        <w:rPr>
          <w:rFonts w:ascii="Arial" w:eastAsia="Times New Roman" w:hAnsi="Arial" w:cs="Arial"/>
          <w:b/>
          <w:sz w:val="20"/>
          <w:szCs w:val="20"/>
        </w:rPr>
        <w:t>Proventi sanzioni codice della strada</w:t>
      </w:r>
      <w:r w:rsidR="009E0C91">
        <w:rPr>
          <w:rFonts w:ascii="Arial" w:hAnsi="Arial" w:cs="Arial"/>
          <w:b/>
          <w:sz w:val="20"/>
          <w:szCs w:val="20"/>
        </w:rPr>
        <w:t>: Non sono state incassate somme.</w:t>
      </w:r>
    </w:p>
    <w:p w:rsidR="009E0C91" w:rsidRDefault="009E0C91" w:rsidP="008D66E6">
      <w:pPr>
        <w:autoSpaceDE w:val="0"/>
        <w:autoSpaceDN w:val="0"/>
        <w:adjustRightInd w:val="0"/>
        <w:ind w:right="-2"/>
        <w:jc w:val="both"/>
        <w:rPr>
          <w:rFonts w:ascii="Arial" w:hAnsi="Arial" w:cs="Arial"/>
          <w:b/>
          <w:sz w:val="20"/>
          <w:szCs w:val="20"/>
        </w:rPr>
      </w:pPr>
    </w:p>
    <w:p w:rsidR="008D66E6" w:rsidRDefault="008D66E6" w:rsidP="008D66E6">
      <w:pPr>
        <w:autoSpaceDE w:val="0"/>
        <w:autoSpaceDN w:val="0"/>
        <w:adjustRightInd w:val="0"/>
        <w:ind w:right="-2"/>
        <w:jc w:val="both"/>
        <w:rPr>
          <w:rFonts w:ascii="Arial" w:hAnsi="Arial" w:cs="Arial"/>
          <w:b/>
          <w:sz w:val="20"/>
          <w:szCs w:val="20"/>
        </w:rPr>
      </w:pPr>
      <w:r w:rsidRPr="002838BE">
        <w:rPr>
          <w:rFonts w:ascii="Arial" w:eastAsia="Times New Roman" w:hAnsi="Arial" w:cs="Arial"/>
          <w:b/>
          <w:sz w:val="20"/>
          <w:szCs w:val="20"/>
        </w:rPr>
        <w:t>Altre entrate di particolare rilevanza</w:t>
      </w:r>
      <w:r w:rsidR="009E0C91">
        <w:rPr>
          <w:rFonts w:ascii="Arial" w:hAnsi="Arial" w:cs="Arial"/>
          <w:b/>
          <w:sz w:val="20"/>
          <w:szCs w:val="20"/>
        </w:rPr>
        <w:t>:</w:t>
      </w:r>
    </w:p>
    <w:p w:rsidR="009E0C91" w:rsidRDefault="009E0C91" w:rsidP="008D66E6">
      <w:pPr>
        <w:autoSpaceDE w:val="0"/>
        <w:autoSpaceDN w:val="0"/>
        <w:adjustRightInd w:val="0"/>
        <w:ind w:right="-2"/>
        <w:jc w:val="both"/>
        <w:rPr>
          <w:rFonts w:ascii="Arial" w:hAnsi="Arial" w:cs="Arial"/>
          <w:b/>
          <w:sz w:val="20"/>
          <w:szCs w:val="20"/>
        </w:rPr>
      </w:pPr>
      <w:r>
        <w:rPr>
          <w:rFonts w:ascii="Arial" w:hAnsi="Arial" w:cs="Arial"/>
          <w:b/>
          <w:sz w:val="20"/>
          <w:szCs w:val="20"/>
        </w:rPr>
        <w:t>Entrate relative al Titolo III ( Entrate Extra tributarie).</w:t>
      </w:r>
    </w:p>
    <w:p w:rsidR="002F0CE6" w:rsidRDefault="009E0C91" w:rsidP="008D66E6">
      <w:pPr>
        <w:autoSpaceDE w:val="0"/>
        <w:autoSpaceDN w:val="0"/>
        <w:adjustRightInd w:val="0"/>
        <w:ind w:right="-2"/>
        <w:jc w:val="both"/>
        <w:rPr>
          <w:rFonts w:ascii="Arial" w:hAnsi="Arial" w:cs="Arial"/>
          <w:b/>
          <w:sz w:val="20"/>
          <w:szCs w:val="20"/>
        </w:rPr>
      </w:pPr>
      <w:r>
        <w:rPr>
          <w:rFonts w:ascii="Arial" w:hAnsi="Arial" w:cs="Arial"/>
          <w:b/>
          <w:sz w:val="20"/>
          <w:szCs w:val="20"/>
        </w:rPr>
        <w:t>In particolare entrate relativi a</w:t>
      </w:r>
      <w:r w:rsidR="002F0CE6">
        <w:rPr>
          <w:rFonts w:ascii="Arial" w:hAnsi="Arial" w:cs="Arial"/>
          <w:b/>
          <w:sz w:val="20"/>
          <w:szCs w:val="20"/>
        </w:rPr>
        <w:t>:</w:t>
      </w:r>
    </w:p>
    <w:p w:rsidR="009E0C91" w:rsidRDefault="002F0CE6" w:rsidP="008D66E6">
      <w:pPr>
        <w:autoSpaceDE w:val="0"/>
        <w:autoSpaceDN w:val="0"/>
        <w:adjustRightInd w:val="0"/>
        <w:ind w:right="-2"/>
        <w:jc w:val="both"/>
        <w:rPr>
          <w:rFonts w:ascii="Arial" w:hAnsi="Arial" w:cs="Arial"/>
          <w:b/>
          <w:sz w:val="20"/>
          <w:szCs w:val="20"/>
        </w:rPr>
      </w:pPr>
      <w:r>
        <w:rPr>
          <w:rFonts w:ascii="Arial" w:hAnsi="Arial" w:cs="Arial"/>
          <w:b/>
          <w:sz w:val="20"/>
          <w:szCs w:val="20"/>
        </w:rPr>
        <w:t>-</w:t>
      </w:r>
      <w:r w:rsidR="009E0C91">
        <w:rPr>
          <w:rFonts w:ascii="Arial" w:hAnsi="Arial" w:cs="Arial"/>
          <w:b/>
          <w:sz w:val="20"/>
          <w:szCs w:val="20"/>
        </w:rPr>
        <w:t xml:space="preserve"> fondi rustici </w:t>
      </w:r>
      <w:r w:rsidR="00FB038A">
        <w:rPr>
          <w:rFonts w:ascii="Arial" w:hAnsi="Arial" w:cs="Arial"/>
          <w:b/>
          <w:sz w:val="20"/>
          <w:szCs w:val="20"/>
        </w:rPr>
        <w:t xml:space="preserve">previsione per € </w:t>
      </w:r>
      <w:r>
        <w:rPr>
          <w:rFonts w:ascii="Arial" w:hAnsi="Arial" w:cs="Arial"/>
          <w:b/>
          <w:sz w:val="20"/>
          <w:szCs w:val="20"/>
        </w:rPr>
        <w:t>5.350,00 in quanto si prevede nel corso dell’anno di rinnovare i contratti di affitto.</w:t>
      </w:r>
    </w:p>
    <w:p w:rsidR="002F0CE6" w:rsidRDefault="002F0CE6" w:rsidP="008D66E6">
      <w:pPr>
        <w:autoSpaceDE w:val="0"/>
        <w:autoSpaceDN w:val="0"/>
        <w:adjustRightInd w:val="0"/>
        <w:ind w:right="-2"/>
        <w:jc w:val="both"/>
        <w:rPr>
          <w:rFonts w:ascii="Arial" w:hAnsi="Arial" w:cs="Arial"/>
          <w:b/>
          <w:sz w:val="20"/>
          <w:szCs w:val="20"/>
        </w:rPr>
      </w:pPr>
      <w:r>
        <w:rPr>
          <w:rFonts w:ascii="Arial" w:hAnsi="Arial" w:cs="Arial"/>
          <w:b/>
          <w:sz w:val="20"/>
          <w:szCs w:val="20"/>
        </w:rPr>
        <w:t>Fitti reali di fabbricati: si prevede di incassare la quota relativa all’immobile adibito a sede della Caserma dei Carabinieri  € 9.482,16 semestrali;</w:t>
      </w:r>
    </w:p>
    <w:p w:rsidR="002F0CE6" w:rsidRPr="002838BE" w:rsidRDefault="002F0CE6" w:rsidP="008D66E6">
      <w:pPr>
        <w:autoSpaceDE w:val="0"/>
        <w:autoSpaceDN w:val="0"/>
        <w:adjustRightInd w:val="0"/>
        <w:ind w:right="-2"/>
        <w:jc w:val="both"/>
        <w:rPr>
          <w:rFonts w:ascii="Arial" w:eastAsia="Times New Roman" w:hAnsi="Arial" w:cs="Arial"/>
          <w:b/>
          <w:sz w:val="20"/>
          <w:szCs w:val="20"/>
        </w:rPr>
      </w:pPr>
      <w:r>
        <w:rPr>
          <w:rFonts w:ascii="Arial" w:hAnsi="Arial" w:cs="Arial"/>
          <w:b/>
          <w:sz w:val="20"/>
          <w:szCs w:val="20"/>
        </w:rPr>
        <w:t>E la quota relativa all’immobile della struttura turistica concessa in affitto ad una cooperativa locale il cui canone è stabilito in € 2.520,00 annuali</w:t>
      </w:r>
    </w:p>
    <w:p w:rsidR="008D66E6" w:rsidRPr="002838BE" w:rsidRDefault="008D66E6" w:rsidP="008D66E6">
      <w:pPr>
        <w:autoSpaceDE w:val="0"/>
        <w:autoSpaceDN w:val="0"/>
        <w:adjustRightInd w:val="0"/>
        <w:ind w:right="-2"/>
        <w:jc w:val="both"/>
        <w:rPr>
          <w:rFonts w:ascii="Arial" w:eastAsia="Times New Roman" w:hAnsi="Arial" w:cs="Arial"/>
          <w:sz w:val="20"/>
          <w:szCs w:val="20"/>
        </w:rPr>
      </w:pPr>
    </w:p>
    <w:p w:rsidR="008D66E6" w:rsidRPr="002838BE" w:rsidRDefault="008D66E6" w:rsidP="008D66E6">
      <w:pPr>
        <w:pStyle w:val="Paragrafoelenco"/>
        <w:numPr>
          <w:ilvl w:val="1"/>
          <w:numId w:val="4"/>
        </w:numPr>
        <w:autoSpaceDE w:val="0"/>
        <w:autoSpaceDN w:val="0"/>
        <w:adjustRightInd w:val="0"/>
        <w:spacing w:after="0" w:line="240" w:lineRule="auto"/>
        <w:ind w:right="-2"/>
        <w:jc w:val="both"/>
        <w:rPr>
          <w:rFonts w:ascii="Arial" w:eastAsia="Times New Roman" w:hAnsi="Arial" w:cs="Arial"/>
          <w:b/>
          <w:sz w:val="20"/>
          <w:szCs w:val="20"/>
        </w:rPr>
      </w:pPr>
      <w:r w:rsidRPr="002838BE">
        <w:rPr>
          <w:rFonts w:ascii="Arial" w:eastAsia="Times New Roman" w:hAnsi="Arial" w:cs="Arial"/>
          <w:b/>
          <w:sz w:val="20"/>
          <w:szCs w:val="20"/>
        </w:rPr>
        <w:t>Le spese</w:t>
      </w:r>
      <w:r w:rsidRPr="002838BE">
        <w:rPr>
          <w:rStyle w:val="Rimandonotaapidipagina"/>
          <w:rFonts w:ascii="Arial" w:eastAsia="Times New Roman" w:hAnsi="Arial"/>
          <w:b/>
          <w:sz w:val="20"/>
          <w:szCs w:val="20"/>
        </w:rPr>
        <w:footnoteReference w:id="3"/>
      </w:r>
    </w:p>
    <w:p w:rsidR="008D66E6" w:rsidRPr="002838BE" w:rsidRDefault="008D66E6" w:rsidP="008D66E6">
      <w:pPr>
        <w:autoSpaceDE w:val="0"/>
        <w:autoSpaceDN w:val="0"/>
        <w:adjustRightInd w:val="0"/>
        <w:ind w:right="-2"/>
        <w:contextualSpacing/>
        <w:jc w:val="both"/>
        <w:rPr>
          <w:rFonts w:ascii="Arial" w:eastAsia="Times New Roman" w:hAnsi="Arial" w:cs="Arial"/>
          <w:sz w:val="20"/>
          <w:szCs w:val="20"/>
        </w:rPr>
      </w:pPr>
      <w:r w:rsidRPr="002838BE">
        <w:rPr>
          <w:rFonts w:ascii="Arial" w:eastAsia="Times New Roman" w:hAnsi="Arial" w:cs="Arial"/>
          <w:sz w:val="20"/>
          <w:szCs w:val="20"/>
        </w:rPr>
        <w:t xml:space="preserve">Per quanto riguarda le </w:t>
      </w:r>
      <w:r w:rsidRPr="002838BE">
        <w:rPr>
          <w:rFonts w:ascii="Arial" w:eastAsia="Times New Roman" w:hAnsi="Arial" w:cs="Arial"/>
          <w:b/>
          <w:sz w:val="20"/>
          <w:szCs w:val="20"/>
        </w:rPr>
        <w:t>spese correnti,</w:t>
      </w:r>
      <w:r w:rsidRPr="002838BE">
        <w:rPr>
          <w:rFonts w:ascii="Arial" w:eastAsia="Times New Roman" w:hAnsi="Arial" w:cs="Arial"/>
          <w:sz w:val="20"/>
          <w:szCs w:val="20"/>
        </w:rPr>
        <w:t xml:space="preserve"> le previsioni sono state formulate sulla base:</w:t>
      </w:r>
    </w:p>
    <w:p w:rsidR="008D66E6" w:rsidRPr="002838BE" w:rsidRDefault="008D66E6" w:rsidP="008D66E6">
      <w:pPr>
        <w:numPr>
          <w:ilvl w:val="0"/>
          <w:numId w:val="3"/>
        </w:numPr>
        <w:suppressAutoHyphens/>
        <w:autoSpaceDE w:val="0"/>
        <w:autoSpaceDN w:val="0"/>
        <w:adjustRightInd w:val="0"/>
        <w:spacing w:after="0" w:line="240" w:lineRule="auto"/>
        <w:ind w:right="-2"/>
        <w:contextualSpacing/>
        <w:jc w:val="both"/>
        <w:rPr>
          <w:rFonts w:ascii="Arial" w:eastAsia="Times New Roman" w:hAnsi="Arial" w:cs="Arial"/>
          <w:sz w:val="20"/>
          <w:szCs w:val="20"/>
        </w:rPr>
      </w:pPr>
      <w:r w:rsidRPr="002838BE">
        <w:rPr>
          <w:rFonts w:ascii="Arial" w:eastAsia="Times New Roman" w:hAnsi="Arial" w:cs="Arial"/>
          <w:sz w:val="20"/>
          <w:szCs w:val="20"/>
        </w:rPr>
        <w:t>dei contratti in essere (mutui, personale, utenze, altri contr</w:t>
      </w:r>
      <w:r w:rsidR="002F0CE6">
        <w:rPr>
          <w:rFonts w:ascii="Arial" w:eastAsia="Times New Roman" w:hAnsi="Arial" w:cs="Arial"/>
          <w:sz w:val="20"/>
          <w:szCs w:val="20"/>
        </w:rPr>
        <w:t>atti di servizio quali rifiuti,</w:t>
      </w:r>
      <w:r w:rsidRPr="002838BE">
        <w:rPr>
          <w:rFonts w:ascii="Arial" w:eastAsia="Times New Roman" w:hAnsi="Arial" w:cs="Arial"/>
          <w:sz w:val="20"/>
          <w:szCs w:val="20"/>
        </w:rPr>
        <w:t xml:space="preserve"> illuminazione pubblic</w:t>
      </w:r>
      <w:r>
        <w:rPr>
          <w:rFonts w:ascii="Arial" w:eastAsia="Times New Roman" w:hAnsi="Arial" w:cs="Arial"/>
          <w:sz w:val="20"/>
          <w:szCs w:val="20"/>
        </w:rPr>
        <w:t>a, ecc.). Per le previsioni 2017-2018</w:t>
      </w:r>
      <w:r w:rsidRPr="002838BE">
        <w:rPr>
          <w:rFonts w:ascii="Arial" w:eastAsia="Times New Roman" w:hAnsi="Arial" w:cs="Arial"/>
          <w:sz w:val="20"/>
          <w:szCs w:val="20"/>
        </w:rPr>
        <w:t xml:space="preserve"> </w:t>
      </w:r>
      <w:r w:rsidRPr="002838BE">
        <w:rPr>
          <w:rFonts w:ascii="Arial" w:eastAsia="Times New Roman" w:hAnsi="Arial" w:cs="Arial"/>
          <w:i/>
          <w:sz w:val="20"/>
          <w:szCs w:val="20"/>
        </w:rPr>
        <w:t>non è stato</w:t>
      </w:r>
      <w:r w:rsidRPr="002838BE">
        <w:rPr>
          <w:rFonts w:ascii="Arial" w:eastAsia="Times New Roman" w:hAnsi="Arial" w:cs="Arial"/>
          <w:sz w:val="20"/>
          <w:szCs w:val="20"/>
        </w:rPr>
        <w:t xml:space="preserve"> considerato l’incremento legato al tasso di inflazione programmato;</w:t>
      </w:r>
    </w:p>
    <w:p w:rsidR="008D66E6" w:rsidRPr="002838BE" w:rsidRDefault="008D66E6" w:rsidP="008D66E6">
      <w:pPr>
        <w:numPr>
          <w:ilvl w:val="0"/>
          <w:numId w:val="3"/>
        </w:numPr>
        <w:suppressAutoHyphens/>
        <w:autoSpaceDE w:val="0"/>
        <w:autoSpaceDN w:val="0"/>
        <w:adjustRightInd w:val="0"/>
        <w:spacing w:after="0" w:line="240" w:lineRule="auto"/>
        <w:ind w:right="-2"/>
        <w:contextualSpacing/>
        <w:jc w:val="both"/>
        <w:rPr>
          <w:rFonts w:ascii="Arial" w:eastAsia="Times New Roman" w:hAnsi="Arial" w:cs="Arial"/>
          <w:sz w:val="20"/>
          <w:szCs w:val="20"/>
        </w:rPr>
      </w:pPr>
      <w:r w:rsidRPr="002838BE">
        <w:rPr>
          <w:rFonts w:ascii="Arial" w:eastAsia="Times New Roman" w:hAnsi="Arial" w:cs="Arial"/>
          <w:sz w:val="20"/>
          <w:szCs w:val="20"/>
        </w:rPr>
        <w:t>delle spese necessarie per l’esercizio delle funzioni fondamentali;</w:t>
      </w:r>
    </w:p>
    <w:p w:rsidR="008D66E6" w:rsidRPr="002838BE" w:rsidRDefault="008D66E6" w:rsidP="008D66E6">
      <w:pPr>
        <w:numPr>
          <w:ilvl w:val="0"/>
          <w:numId w:val="3"/>
        </w:numPr>
        <w:suppressAutoHyphens/>
        <w:autoSpaceDE w:val="0"/>
        <w:autoSpaceDN w:val="0"/>
        <w:adjustRightInd w:val="0"/>
        <w:spacing w:after="0" w:line="240" w:lineRule="auto"/>
        <w:ind w:right="-2"/>
        <w:contextualSpacing/>
        <w:jc w:val="both"/>
        <w:rPr>
          <w:rFonts w:ascii="Arial" w:eastAsia="Times New Roman" w:hAnsi="Arial" w:cs="Arial"/>
          <w:sz w:val="20"/>
          <w:szCs w:val="20"/>
        </w:rPr>
      </w:pPr>
      <w:r w:rsidRPr="002838BE">
        <w:rPr>
          <w:rFonts w:ascii="Arial" w:eastAsia="Times New Roman" w:hAnsi="Arial" w:cs="Arial"/>
          <w:sz w:val="20"/>
          <w:szCs w:val="20"/>
        </w:rPr>
        <w:t xml:space="preserve">delle richieste formulate dai vari responsabili, opportunamente riviste alla luce delle risorse disponibili e delle scelte dell’amministrazione effettuare in relazione agli obiettivi indicati </w:t>
      </w:r>
      <w:r w:rsidR="002F0CE6">
        <w:rPr>
          <w:rFonts w:ascii="Arial" w:eastAsia="Times New Roman" w:hAnsi="Arial" w:cs="Arial"/>
          <w:sz w:val="20"/>
          <w:szCs w:val="20"/>
        </w:rPr>
        <w:t>nel DUP</w:t>
      </w:r>
      <w:r w:rsidRPr="002838BE">
        <w:rPr>
          <w:rFonts w:ascii="Arial" w:eastAsia="Times New Roman" w:hAnsi="Arial" w:cs="Arial"/>
          <w:sz w:val="20"/>
          <w:szCs w:val="20"/>
        </w:rPr>
        <w:t>;</w:t>
      </w:r>
    </w:p>
    <w:p w:rsidR="002F0CE6" w:rsidRDefault="002F0CE6" w:rsidP="002F0CE6">
      <w:pPr>
        <w:pStyle w:val="Paragrafoelenco"/>
        <w:autoSpaceDE w:val="0"/>
        <w:autoSpaceDN w:val="0"/>
        <w:adjustRightInd w:val="0"/>
        <w:spacing w:after="0" w:line="240" w:lineRule="auto"/>
        <w:jc w:val="both"/>
        <w:rPr>
          <w:rFonts w:ascii="Times New Roman" w:hAnsi="Times New Roman" w:cs="Times New Roman"/>
          <w:b/>
          <w:bCs/>
          <w:sz w:val="24"/>
          <w:szCs w:val="24"/>
        </w:rPr>
      </w:pPr>
    </w:p>
    <w:p w:rsidR="00853FF8" w:rsidRPr="002F0CE6" w:rsidRDefault="002F0CE6" w:rsidP="002F0CE6">
      <w:pPr>
        <w:autoSpaceDE w:val="0"/>
        <w:autoSpaceDN w:val="0"/>
        <w:adjustRightInd w:val="0"/>
        <w:spacing w:after="0" w:line="240" w:lineRule="auto"/>
        <w:jc w:val="both"/>
        <w:rPr>
          <w:rFonts w:ascii="Times New Roman" w:hAnsi="Times New Roman" w:cs="Times New Roman"/>
          <w:b/>
          <w:bCs/>
          <w:sz w:val="24"/>
          <w:szCs w:val="24"/>
        </w:rPr>
      </w:pPr>
      <w:r w:rsidRPr="002F0CE6">
        <w:rPr>
          <w:rFonts w:ascii="Times New Roman" w:hAnsi="Times New Roman" w:cs="Times New Roman"/>
          <w:b/>
          <w:bCs/>
          <w:sz w:val="24"/>
          <w:szCs w:val="24"/>
        </w:rPr>
        <w:t xml:space="preserve">Criteri di valutazione adottati per la formulazione delle previsioni, con particolare riferimento agli stanziamenti riguardanti gli accantonamento per le spese potenziali e al fondo  </w:t>
      </w:r>
      <w:r w:rsidR="00853FF8" w:rsidRPr="002F0CE6">
        <w:rPr>
          <w:rFonts w:ascii="Times New Roman" w:hAnsi="Times New Roman" w:cs="Times New Roman"/>
          <w:b/>
          <w:bCs/>
          <w:sz w:val="24"/>
          <w:szCs w:val="24"/>
        </w:rPr>
        <w:t>crediti di dubbia esigibilità e ai crediti per i quali non è previsto l’accantonamento a tale fondo.</w:t>
      </w: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previsioni del bilancio 2016/2018 sono state effettuate in base ai principi contabili allegati al D.Lgs. n. 118/2011 ed ai risultati delle precedenti gestioni di bilancio.</w:t>
      </w:r>
    </w:p>
    <w:p w:rsidR="00853FF8" w:rsidRDefault="00853FF8" w:rsidP="00853F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L’analisi specifica delle previsioni per ogni singola imposta è riportata nella parte del DUP riservata agli indirizzi in materia di tributi e tariffe.</w:t>
      </w: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nuovo principio contabile applicato concernente la contabilità finanziaria prevede l’obbligatorietà di inserire in bilancio degli </w:t>
      </w:r>
      <w:r w:rsidRPr="00925BC5">
        <w:rPr>
          <w:rFonts w:ascii="Times New Roman" w:hAnsi="Times New Roman" w:cs="Times New Roman"/>
          <w:b/>
          <w:sz w:val="24"/>
          <w:szCs w:val="24"/>
        </w:rPr>
        <w:t>accantonamenti per passività potenziali</w:t>
      </w:r>
      <w:r>
        <w:rPr>
          <w:rFonts w:ascii="Times New Roman" w:hAnsi="Times New Roman" w:cs="Times New Roman"/>
          <w:sz w:val="24"/>
          <w:szCs w:val="24"/>
        </w:rPr>
        <w:t xml:space="preserve"> (fondi spese e rischi) e l’accantonamento al fondo crediti di dubbia esigibilità.</w:t>
      </w:r>
    </w:p>
    <w:p w:rsidR="00853FF8" w:rsidRPr="00582BBA" w:rsidRDefault="00853FF8" w:rsidP="00853FF8">
      <w:pPr>
        <w:autoSpaceDE w:val="0"/>
        <w:autoSpaceDN w:val="0"/>
        <w:adjustRightInd w:val="0"/>
        <w:spacing w:after="0" w:line="240" w:lineRule="auto"/>
        <w:jc w:val="both"/>
        <w:rPr>
          <w:rFonts w:ascii="Times New Roman" w:hAnsi="Times New Roman" w:cs="Times New Roman"/>
          <w:sz w:val="24"/>
          <w:szCs w:val="24"/>
        </w:rPr>
      </w:pPr>
      <w:r w:rsidRPr="00582BBA">
        <w:rPr>
          <w:rFonts w:ascii="Times New Roman" w:hAnsi="Times New Roman" w:cs="Times New Roman"/>
          <w:sz w:val="24"/>
          <w:szCs w:val="24"/>
        </w:rPr>
        <w:t>Tra le passività potenziali rientrano le spese derivanti da contenzioso, il fondo spese per indennità di fine mandato e quest’anno è stato previsto l’accantonamento per rinnovi contrattuali.</w:t>
      </w: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r w:rsidRPr="00853FF8">
        <w:rPr>
          <w:rFonts w:ascii="Times New Roman" w:hAnsi="Times New Roman" w:cs="Times New Roman"/>
          <w:sz w:val="24"/>
          <w:szCs w:val="24"/>
          <w:highlight w:val="yellow"/>
        </w:rPr>
        <w:t xml:space="preserve">Nel caso in cui l’ente, a seguito di contenzioso, o di sentenza non definitiva e non esecutiva, sia condannato al pagamento di spese, in attesa degli esiti del giudizio, è tenuto ad accantonare le </w:t>
      </w:r>
      <w:r w:rsidRPr="00853FF8">
        <w:rPr>
          <w:rFonts w:ascii="Times New Roman" w:hAnsi="Times New Roman" w:cs="Times New Roman"/>
          <w:sz w:val="24"/>
          <w:szCs w:val="24"/>
          <w:highlight w:val="yellow"/>
        </w:rPr>
        <w:lastRenderedPageBreak/>
        <w:t>risorse necessarie per il pagamento degli oneri previsti dalla sentenza, stanziando nell’esercizio le relative spese che, a fine esercizio, incrementeranno il risultato di amministrazione che dovrà essere vincolato alla copertura delle eventuali spese derivanti dalla sentenza definitiva. A tal proposito l’ente è tenuto a costituire un apposito fondo rischi, il cui accantonamento riguarda solo il rischio di maggiori spese legate al contenzioso.  Si precisa che ad oggi si sta instaurando un contenzioso con la Regione Sardegna per il quale allo stato attuale non si è in grado di conoscere l’esito della sentenza ed eventuali oneri a carico dell’ente,  per cui non si procede ad accantonare appositi stanziamenti.</w:t>
      </w: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spese per indennità di fine mandato, costituiscono una spesa potenziale dell’ente, in considerazione della quale, si ritiene opportuno prevedere tra le spese del bilancio di previsione, un apposito accantonamento, denominato “fondo spese per indennità di fine mandato”.</w:t>
      </w:r>
    </w:p>
    <w:p w:rsidR="00853FF8" w:rsidRDefault="00853FF8" w:rsidP="00853F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 tale capitolo non è possibile impegnare e pagare e, a fine esercizio, l’economia di bilancio confluisce nella quota accantonata del risultato di amministrazione, immediatamente utilizzabile.</w:t>
      </w:r>
    </w:p>
    <w:p w:rsidR="00853FF8" w:rsidRDefault="00853FF8" w:rsidP="00853FF8">
      <w:pPr>
        <w:rPr>
          <w:rFonts w:ascii="Times New Roman" w:hAnsi="Times New Roman" w:cs="Times New Roman"/>
          <w:sz w:val="24"/>
          <w:szCs w:val="24"/>
        </w:rPr>
      </w:pPr>
      <w:r>
        <w:rPr>
          <w:rFonts w:ascii="Times New Roman" w:hAnsi="Times New Roman" w:cs="Times New Roman"/>
          <w:sz w:val="24"/>
          <w:szCs w:val="24"/>
        </w:rPr>
        <w:t xml:space="preserve">L’importo accantonato per l’anno 2016 ammonta a Euro </w:t>
      </w:r>
      <w:r w:rsidR="00925BC5">
        <w:rPr>
          <w:rFonts w:ascii="Times New Roman" w:hAnsi="Times New Roman" w:cs="Times New Roman"/>
          <w:sz w:val="24"/>
          <w:szCs w:val="24"/>
        </w:rPr>
        <w:t>1.610,00</w:t>
      </w:r>
      <w:r>
        <w:rPr>
          <w:rFonts w:ascii="Times New Roman" w:hAnsi="Times New Roman" w:cs="Times New Roman"/>
          <w:sz w:val="24"/>
          <w:szCs w:val="24"/>
        </w:rPr>
        <w:t>.</w:t>
      </w:r>
    </w:p>
    <w:p w:rsidR="00925BC5" w:rsidRPr="00925BC5" w:rsidRDefault="00925BC5" w:rsidP="00925BC5">
      <w:pPr>
        <w:autoSpaceDE w:val="0"/>
        <w:autoSpaceDN w:val="0"/>
        <w:adjustRightInd w:val="0"/>
        <w:spacing w:after="0" w:line="240" w:lineRule="auto"/>
        <w:rPr>
          <w:rFonts w:ascii="Times New Roman" w:hAnsi="Times New Roman" w:cs="Times New Roman"/>
          <w:b/>
          <w:sz w:val="24"/>
          <w:szCs w:val="24"/>
          <w:u w:val="single"/>
        </w:rPr>
      </w:pPr>
      <w:r w:rsidRPr="00925BC5">
        <w:rPr>
          <w:rFonts w:ascii="Times New Roman" w:hAnsi="Times New Roman" w:cs="Times New Roman"/>
          <w:b/>
          <w:sz w:val="24"/>
          <w:szCs w:val="24"/>
          <w:u w:val="single"/>
        </w:rPr>
        <w:t>Accantonamento al fondo crediti di dubbia esigibilità.</w:t>
      </w:r>
    </w:p>
    <w:p w:rsidR="00925BC5" w:rsidRDefault="00925BC5" w:rsidP="00925B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nuovo principio contabile della competenza finanziaria prevede che le entrate siano accertate nell’esercizio in cui sorge l’obbligazione attiva, con imputazione contabile all’esercizio in cui scade il credito.</w:t>
      </w:r>
    </w:p>
    <w:p w:rsidR="00925BC5" w:rsidRDefault="00925BC5" w:rsidP="00925B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i crediti di dubbia e difficile esazione, che sono accertati durante l’anno, l’ente deve effettuare un accantonamento al fondo crediti di dubbia esigibilità.</w:t>
      </w:r>
    </w:p>
    <w:p w:rsidR="00925BC5" w:rsidRDefault="00925BC5" w:rsidP="00925B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entrate, in linea generale, ad esclusione di quelle tributarie, vengono accertate per l’intero importo del credito, al lordo delle entrate di dubbia e difficile esazione, per le quali non è certa la riscossione integrale.</w:t>
      </w:r>
    </w:p>
    <w:p w:rsidR="00925BC5" w:rsidRDefault="00925BC5" w:rsidP="00925B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tal fine è stanziata nel bilancio di previsione una apposita posta contabile, denominata “</w:t>
      </w:r>
      <w:r w:rsidRPr="00925BC5">
        <w:rPr>
          <w:rFonts w:ascii="Times New Roman" w:hAnsi="Times New Roman" w:cs="Times New Roman"/>
          <w:b/>
          <w:sz w:val="24"/>
          <w:szCs w:val="24"/>
        </w:rPr>
        <w:t>Accantonamento al fondo crediti di dubbia esigibilità”</w:t>
      </w:r>
      <w:r>
        <w:rPr>
          <w:rFonts w:ascii="Times New Roman" w:hAnsi="Times New Roman" w:cs="Times New Roman"/>
          <w:sz w:val="24"/>
          <w:szCs w:val="24"/>
        </w:rPr>
        <w:t xml:space="preserve"> il cui ammontare è determinato in considerazione della dimensione degli stanziamenti relativi ai crediti che si prevede si formeranno nell’esercizio, della loro natura e dell’andamento del fenomeno negli ultimi cinque esercizi precedenti (la media del rapporto tra incassi e accertamenti per ciascuna tipologia di entrata).</w:t>
      </w:r>
    </w:p>
    <w:p w:rsidR="00925BC5" w:rsidRDefault="00925BC5" w:rsidP="00925B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L’accantonamento al fondo crediti di dubbia esigibilità non è oggetto di impegno e genera un’economia di bilancio che confluisce nel risultato di amministrazione come quota accantonata.</w:t>
      </w:r>
    </w:p>
    <w:p w:rsidR="00572EB9" w:rsidRDefault="00572EB9" w:rsidP="00925B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L’accantonamento al fondo dovrà essere  effettuato secondo quanto stabilito nella seguente tabella:</w:t>
      </w:r>
    </w:p>
    <w:p w:rsidR="00572EB9" w:rsidRDefault="00572EB9" w:rsidP="00925BC5">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2036"/>
        <w:gridCol w:w="1115"/>
        <w:gridCol w:w="1031"/>
        <w:gridCol w:w="1031"/>
        <w:gridCol w:w="1031"/>
        <w:gridCol w:w="1045"/>
      </w:tblGrid>
      <w:tr w:rsidR="00572EB9" w:rsidRPr="00C2339D" w:rsidTr="00582BBA">
        <w:tc>
          <w:tcPr>
            <w:tcW w:w="2041" w:type="dxa"/>
            <w:vMerge w:val="restart"/>
            <w:shd w:val="clear" w:color="auto" w:fill="D9D9D9"/>
            <w:vAlign w:val="center"/>
          </w:tcPr>
          <w:p w:rsidR="00572EB9" w:rsidRPr="00C2339D" w:rsidRDefault="00572EB9" w:rsidP="00582BBA">
            <w:pPr>
              <w:spacing w:before="60" w:after="60"/>
              <w:jc w:val="center"/>
              <w:rPr>
                <w:rFonts w:ascii="Arial" w:eastAsia="MS Mincho" w:hAnsi="Arial" w:cs="Arial"/>
                <w:b/>
                <w:sz w:val="20"/>
                <w:szCs w:val="20"/>
              </w:rPr>
            </w:pPr>
            <w:r>
              <w:rPr>
                <w:rFonts w:ascii="Arial" w:eastAsia="MS Mincho" w:hAnsi="Arial" w:cs="Arial"/>
                <w:b/>
                <w:sz w:val="20"/>
                <w:szCs w:val="20"/>
              </w:rPr>
              <w:t>FASE</w:t>
            </w:r>
          </w:p>
        </w:tc>
        <w:tc>
          <w:tcPr>
            <w:tcW w:w="2036" w:type="dxa"/>
            <w:vMerge w:val="restart"/>
            <w:shd w:val="clear" w:color="auto" w:fill="D9D9D9"/>
            <w:vAlign w:val="center"/>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ENTI</w:t>
            </w:r>
          </w:p>
        </w:tc>
        <w:tc>
          <w:tcPr>
            <w:tcW w:w="5253" w:type="dxa"/>
            <w:gridSpan w:val="5"/>
            <w:shd w:val="clear" w:color="auto" w:fill="D9D9D9"/>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ANNO DI PREVISIONE DEL BILANCIO</w:t>
            </w:r>
          </w:p>
        </w:tc>
      </w:tr>
      <w:tr w:rsidR="00572EB9" w:rsidRPr="00C2339D" w:rsidTr="00582BBA">
        <w:tc>
          <w:tcPr>
            <w:tcW w:w="2041" w:type="dxa"/>
            <w:vMerge/>
            <w:shd w:val="clear" w:color="auto" w:fill="D9D9D9"/>
          </w:tcPr>
          <w:p w:rsidR="00572EB9" w:rsidRPr="00C2339D" w:rsidRDefault="00572EB9" w:rsidP="00582BBA">
            <w:pPr>
              <w:spacing w:before="60" w:after="60"/>
              <w:jc w:val="center"/>
              <w:rPr>
                <w:rFonts w:ascii="Arial" w:eastAsia="MS Mincho" w:hAnsi="Arial" w:cs="Arial"/>
                <w:b/>
                <w:sz w:val="20"/>
                <w:szCs w:val="20"/>
              </w:rPr>
            </w:pPr>
          </w:p>
        </w:tc>
        <w:tc>
          <w:tcPr>
            <w:tcW w:w="2036" w:type="dxa"/>
            <w:vMerge/>
            <w:shd w:val="clear" w:color="auto" w:fill="D9D9D9"/>
          </w:tcPr>
          <w:p w:rsidR="00572EB9" w:rsidRPr="00C2339D" w:rsidRDefault="00572EB9" w:rsidP="00582BBA">
            <w:pPr>
              <w:spacing w:before="60" w:after="60"/>
              <w:jc w:val="center"/>
              <w:rPr>
                <w:rFonts w:ascii="Arial" w:eastAsia="MS Mincho" w:hAnsi="Arial" w:cs="Arial"/>
                <w:b/>
                <w:sz w:val="20"/>
                <w:szCs w:val="20"/>
              </w:rPr>
            </w:pPr>
          </w:p>
        </w:tc>
        <w:tc>
          <w:tcPr>
            <w:tcW w:w="1115" w:type="dxa"/>
            <w:shd w:val="clear" w:color="auto" w:fill="D9D9D9"/>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2015</w:t>
            </w:r>
          </w:p>
        </w:tc>
        <w:tc>
          <w:tcPr>
            <w:tcW w:w="1031" w:type="dxa"/>
            <w:shd w:val="clear" w:color="auto" w:fill="D9D9D9"/>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2016</w:t>
            </w:r>
          </w:p>
        </w:tc>
        <w:tc>
          <w:tcPr>
            <w:tcW w:w="1031" w:type="dxa"/>
            <w:shd w:val="clear" w:color="auto" w:fill="D9D9D9"/>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2017</w:t>
            </w:r>
          </w:p>
        </w:tc>
        <w:tc>
          <w:tcPr>
            <w:tcW w:w="1031" w:type="dxa"/>
            <w:shd w:val="clear" w:color="auto" w:fill="D9D9D9"/>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2018</w:t>
            </w:r>
          </w:p>
        </w:tc>
        <w:tc>
          <w:tcPr>
            <w:tcW w:w="1045" w:type="dxa"/>
            <w:shd w:val="clear" w:color="auto" w:fill="D9D9D9"/>
          </w:tcPr>
          <w:p w:rsidR="00572EB9" w:rsidRPr="00C2339D" w:rsidRDefault="00572EB9" w:rsidP="00582BBA">
            <w:pPr>
              <w:spacing w:before="60" w:after="60"/>
              <w:jc w:val="center"/>
              <w:rPr>
                <w:rFonts w:ascii="Arial" w:eastAsia="MS Mincho" w:hAnsi="Arial" w:cs="Arial"/>
                <w:b/>
                <w:sz w:val="20"/>
                <w:szCs w:val="20"/>
              </w:rPr>
            </w:pPr>
            <w:r w:rsidRPr="00C2339D">
              <w:rPr>
                <w:rFonts w:ascii="Arial" w:eastAsia="MS Mincho" w:hAnsi="Arial" w:cs="Arial"/>
                <w:b/>
                <w:sz w:val="20"/>
                <w:szCs w:val="20"/>
              </w:rPr>
              <w:t>2019</w:t>
            </w:r>
          </w:p>
        </w:tc>
      </w:tr>
      <w:tr w:rsidR="00572EB9" w:rsidRPr="00C2339D" w:rsidTr="00582BBA">
        <w:tc>
          <w:tcPr>
            <w:tcW w:w="2041" w:type="dxa"/>
            <w:vMerge w:val="restart"/>
            <w:vAlign w:val="center"/>
          </w:tcPr>
          <w:p w:rsidR="00572EB9" w:rsidRPr="00C2339D" w:rsidRDefault="00572EB9" w:rsidP="00582BBA">
            <w:pPr>
              <w:spacing w:before="60" w:after="60"/>
              <w:jc w:val="center"/>
              <w:rPr>
                <w:rFonts w:ascii="Arial" w:eastAsia="MS Mincho" w:hAnsi="Arial" w:cs="Arial"/>
                <w:sz w:val="20"/>
                <w:szCs w:val="20"/>
              </w:rPr>
            </w:pPr>
            <w:r>
              <w:rPr>
                <w:rFonts w:ascii="Arial" w:eastAsia="MS Mincho" w:hAnsi="Arial" w:cs="Arial"/>
                <w:sz w:val="20"/>
                <w:szCs w:val="20"/>
              </w:rPr>
              <w:t>PREVISIONE</w:t>
            </w:r>
          </w:p>
        </w:tc>
        <w:tc>
          <w:tcPr>
            <w:tcW w:w="2036" w:type="dxa"/>
            <w:shd w:val="clear" w:color="auto" w:fill="auto"/>
          </w:tcPr>
          <w:p w:rsidR="00572EB9" w:rsidRPr="00C2339D" w:rsidRDefault="00572EB9" w:rsidP="00582BBA">
            <w:pPr>
              <w:spacing w:before="60" w:after="60"/>
              <w:jc w:val="both"/>
              <w:rPr>
                <w:rFonts w:ascii="Arial" w:eastAsia="MS Mincho" w:hAnsi="Arial" w:cs="Arial"/>
                <w:sz w:val="20"/>
                <w:szCs w:val="20"/>
              </w:rPr>
            </w:pPr>
            <w:r w:rsidRPr="00C2339D">
              <w:rPr>
                <w:rFonts w:ascii="Arial" w:eastAsia="MS Mincho" w:hAnsi="Arial" w:cs="Arial"/>
                <w:sz w:val="20"/>
                <w:szCs w:val="20"/>
              </w:rPr>
              <w:t>Sperimentatori</w:t>
            </w:r>
          </w:p>
        </w:tc>
        <w:tc>
          <w:tcPr>
            <w:tcW w:w="1115" w:type="dxa"/>
            <w:shd w:val="clear" w:color="auto" w:fill="auto"/>
            <w:vAlign w:val="center"/>
          </w:tcPr>
          <w:p w:rsidR="00572EB9" w:rsidRPr="00C2339D" w:rsidRDefault="00572EB9" w:rsidP="00582BBA">
            <w:pPr>
              <w:spacing w:before="60" w:after="60"/>
              <w:jc w:val="center"/>
              <w:rPr>
                <w:rFonts w:ascii="Arial" w:eastAsia="MS Mincho" w:hAnsi="Arial" w:cs="Arial"/>
                <w:sz w:val="20"/>
                <w:szCs w:val="20"/>
              </w:rPr>
            </w:pPr>
            <w:r w:rsidRPr="00C2339D">
              <w:rPr>
                <w:rFonts w:ascii="Arial" w:eastAsia="MS Mincho" w:hAnsi="Arial" w:cs="Arial"/>
                <w:sz w:val="20"/>
                <w:szCs w:val="20"/>
              </w:rPr>
              <w:t>55%</w:t>
            </w:r>
          </w:p>
        </w:tc>
        <w:tc>
          <w:tcPr>
            <w:tcW w:w="1031" w:type="dxa"/>
            <w:vMerge w:val="restart"/>
            <w:shd w:val="clear" w:color="auto" w:fill="auto"/>
            <w:vAlign w:val="center"/>
          </w:tcPr>
          <w:p w:rsidR="00572EB9" w:rsidRPr="00C2339D" w:rsidRDefault="00572EB9" w:rsidP="00582BBA">
            <w:pPr>
              <w:spacing w:before="60" w:after="60"/>
              <w:jc w:val="center"/>
              <w:rPr>
                <w:rFonts w:ascii="Arial" w:eastAsia="MS Mincho" w:hAnsi="Arial" w:cs="Arial"/>
                <w:sz w:val="20"/>
                <w:szCs w:val="20"/>
              </w:rPr>
            </w:pPr>
            <w:r w:rsidRPr="00C2339D">
              <w:rPr>
                <w:rFonts w:ascii="Arial" w:eastAsia="MS Mincho" w:hAnsi="Arial" w:cs="Arial"/>
                <w:sz w:val="20"/>
                <w:szCs w:val="20"/>
              </w:rPr>
              <w:t>55%</w:t>
            </w:r>
          </w:p>
        </w:tc>
        <w:tc>
          <w:tcPr>
            <w:tcW w:w="1031" w:type="dxa"/>
            <w:vMerge w:val="restart"/>
            <w:shd w:val="clear" w:color="auto" w:fill="auto"/>
            <w:vAlign w:val="center"/>
          </w:tcPr>
          <w:p w:rsidR="00572EB9" w:rsidRPr="00C2339D" w:rsidRDefault="00572EB9" w:rsidP="00582BBA">
            <w:pPr>
              <w:spacing w:before="60" w:after="60"/>
              <w:jc w:val="center"/>
              <w:rPr>
                <w:rFonts w:ascii="Arial" w:eastAsia="MS Mincho" w:hAnsi="Arial" w:cs="Arial"/>
                <w:sz w:val="20"/>
                <w:szCs w:val="20"/>
              </w:rPr>
            </w:pPr>
            <w:r w:rsidRPr="00C2339D">
              <w:rPr>
                <w:rFonts w:ascii="Arial" w:eastAsia="MS Mincho" w:hAnsi="Arial" w:cs="Arial"/>
                <w:sz w:val="20"/>
                <w:szCs w:val="20"/>
              </w:rPr>
              <w:t>70%</w:t>
            </w:r>
          </w:p>
        </w:tc>
        <w:tc>
          <w:tcPr>
            <w:tcW w:w="1031" w:type="dxa"/>
            <w:vMerge w:val="restart"/>
            <w:shd w:val="clear" w:color="auto" w:fill="auto"/>
            <w:vAlign w:val="center"/>
          </w:tcPr>
          <w:p w:rsidR="00572EB9" w:rsidRPr="00C2339D" w:rsidRDefault="00572EB9" w:rsidP="00582BBA">
            <w:pPr>
              <w:spacing w:before="60" w:after="60"/>
              <w:jc w:val="center"/>
              <w:rPr>
                <w:rFonts w:ascii="Arial" w:eastAsia="MS Mincho" w:hAnsi="Arial" w:cs="Arial"/>
                <w:sz w:val="20"/>
                <w:szCs w:val="20"/>
              </w:rPr>
            </w:pPr>
            <w:r w:rsidRPr="00C2339D">
              <w:rPr>
                <w:rFonts w:ascii="Arial" w:eastAsia="MS Mincho" w:hAnsi="Arial" w:cs="Arial"/>
                <w:sz w:val="20"/>
                <w:szCs w:val="20"/>
              </w:rPr>
              <w:t>85%</w:t>
            </w:r>
          </w:p>
        </w:tc>
        <w:tc>
          <w:tcPr>
            <w:tcW w:w="1045" w:type="dxa"/>
            <w:vMerge w:val="restart"/>
            <w:shd w:val="clear" w:color="auto" w:fill="auto"/>
            <w:vAlign w:val="center"/>
          </w:tcPr>
          <w:p w:rsidR="00572EB9" w:rsidRPr="00C2339D" w:rsidRDefault="00572EB9" w:rsidP="00582BBA">
            <w:pPr>
              <w:spacing w:before="60" w:after="60"/>
              <w:jc w:val="center"/>
              <w:rPr>
                <w:rFonts w:ascii="Arial" w:eastAsia="MS Mincho" w:hAnsi="Arial" w:cs="Arial"/>
                <w:sz w:val="20"/>
                <w:szCs w:val="20"/>
              </w:rPr>
            </w:pPr>
            <w:r w:rsidRPr="00C2339D">
              <w:rPr>
                <w:rFonts w:ascii="Arial" w:eastAsia="MS Mincho" w:hAnsi="Arial" w:cs="Arial"/>
                <w:sz w:val="20"/>
                <w:szCs w:val="20"/>
              </w:rPr>
              <w:t>100%</w:t>
            </w:r>
          </w:p>
        </w:tc>
      </w:tr>
      <w:tr w:rsidR="00572EB9" w:rsidRPr="00C2339D" w:rsidTr="00582BBA">
        <w:tc>
          <w:tcPr>
            <w:tcW w:w="2041" w:type="dxa"/>
            <w:vMerge/>
            <w:vAlign w:val="center"/>
          </w:tcPr>
          <w:p w:rsidR="00572EB9" w:rsidRPr="00C2339D" w:rsidRDefault="00572EB9" w:rsidP="00582BBA">
            <w:pPr>
              <w:spacing w:before="60" w:after="60"/>
              <w:jc w:val="center"/>
              <w:rPr>
                <w:rFonts w:ascii="Arial" w:eastAsia="MS Mincho" w:hAnsi="Arial" w:cs="Arial"/>
                <w:sz w:val="20"/>
                <w:szCs w:val="20"/>
              </w:rPr>
            </w:pPr>
          </w:p>
        </w:tc>
        <w:tc>
          <w:tcPr>
            <w:tcW w:w="2036" w:type="dxa"/>
            <w:shd w:val="clear" w:color="auto" w:fill="auto"/>
          </w:tcPr>
          <w:p w:rsidR="00572EB9" w:rsidRPr="00F03B01" w:rsidRDefault="00572EB9" w:rsidP="00582BBA">
            <w:pPr>
              <w:spacing w:before="60" w:after="60"/>
              <w:jc w:val="both"/>
              <w:rPr>
                <w:rFonts w:ascii="Arial" w:eastAsia="MS Mincho" w:hAnsi="Arial" w:cs="Arial"/>
                <w:sz w:val="20"/>
                <w:szCs w:val="20"/>
                <w:highlight w:val="yellow"/>
              </w:rPr>
            </w:pPr>
            <w:r w:rsidRPr="00F03B01">
              <w:rPr>
                <w:rFonts w:ascii="Arial" w:eastAsia="MS Mincho" w:hAnsi="Arial" w:cs="Arial"/>
                <w:sz w:val="20"/>
                <w:szCs w:val="20"/>
                <w:highlight w:val="yellow"/>
              </w:rPr>
              <w:t>Non sperimentatori</w:t>
            </w:r>
          </w:p>
        </w:tc>
        <w:tc>
          <w:tcPr>
            <w:tcW w:w="1115" w:type="dxa"/>
            <w:shd w:val="clear" w:color="auto" w:fill="auto"/>
            <w:vAlign w:val="center"/>
          </w:tcPr>
          <w:p w:rsidR="00572EB9" w:rsidRPr="00F03B01" w:rsidRDefault="00572EB9" w:rsidP="00582BBA">
            <w:pPr>
              <w:spacing w:before="60" w:after="60"/>
              <w:jc w:val="center"/>
              <w:rPr>
                <w:rFonts w:ascii="Arial" w:eastAsia="MS Mincho" w:hAnsi="Arial" w:cs="Arial"/>
                <w:sz w:val="20"/>
                <w:szCs w:val="20"/>
                <w:highlight w:val="yellow"/>
              </w:rPr>
            </w:pPr>
            <w:r w:rsidRPr="00F03B01">
              <w:rPr>
                <w:rFonts w:ascii="Arial" w:eastAsia="MS Mincho" w:hAnsi="Arial" w:cs="Arial"/>
                <w:sz w:val="20"/>
                <w:szCs w:val="20"/>
                <w:highlight w:val="yellow"/>
              </w:rPr>
              <w:t>36%</w:t>
            </w:r>
          </w:p>
        </w:tc>
        <w:tc>
          <w:tcPr>
            <w:tcW w:w="1031" w:type="dxa"/>
            <w:vMerge/>
            <w:shd w:val="clear" w:color="auto" w:fill="auto"/>
          </w:tcPr>
          <w:p w:rsidR="00572EB9" w:rsidRPr="00C2339D" w:rsidRDefault="00572EB9" w:rsidP="00582BBA">
            <w:pPr>
              <w:spacing w:before="60" w:after="60"/>
              <w:jc w:val="both"/>
              <w:rPr>
                <w:rFonts w:ascii="Arial" w:eastAsia="MS Mincho" w:hAnsi="Arial" w:cs="Arial"/>
                <w:sz w:val="20"/>
                <w:szCs w:val="20"/>
              </w:rPr>
            </w:pPr>
          </w:p>
        </w:tc>
        <w:tc>
          <w:tcPr>
            <w:tcW w:w="1031" w:type="dxa"/>
            <w:vMerge/>
            <w:shd w:val="clear" w:color="auto" w:fill="auto"/>
          </w:tcPr>
          <w:p w:rsidR="00572EB9" w:rsidRPr="00C2339D" w:rsidRDefault="00572EB9" w:rsidP="00582BBA">
            <w:pPr>
              <w:spacing w:before="60" w:after="60"/>
              <w:jc w:val="both"/>
              <w:rPr>
                <w:rFonts w:ascii="Arial" w:eastAsia="MS Mincho" w:hAnsi="Arial" w:cs="Arial"/>
                <w:sz w:val="20"/>
                <w:szCs w:val="20"/>
              </w:rPr>
            </w:pPr>
          </w:p>
        </w:tc>
        <w:tc>
          <w:tcPr>
            <w:tcW w:w="1031" w:type="dxa"/>
            <w:vMerge/>
            <w:shd w:val="clear" w:color="auto" w:fill="auto"/>
          </w:tcPr>
          <w:p w:rsidR="00572EB9" w:rsidRPr="00C2339D" w:rsidRDefault="00572EB9" w:rsidP="00582BBA">
            <w:pPr>
              <w:spacing w:before="60" w:after="60"/>
              <w:jc w:val="both"/>
              <w:rPr>
                <w:rFonts w:ascii="Arial" w:eastAsia="MS Mincho" w:hAnsi="Arial" w:cs="Arial"/>
                <w:sz w:val="20"/>
                <w:szCs w:val="20"/>
              </w:rPr>
            </w:pPr>
          </w:p>
        </w:tc>
        <w:tc>
          <w:tcPr>
            <w:tcW w:w="1045" w:type="dxa"/>
            <w:vMerge/>
            <w:shd w:val="clear" w:color="auto" w:fill="auto"/>
          </w:tcPr>
          <w:p w:rsidR="00572EB9" w:rsidRPr="00C2339D" w:rsidRDefault="00572EB9" w:rsidP="00582BBA">
            <w:pPr>
              <w:spacing w:before="60" w:after="60"/>
              <w:jc w:val="both"/>
              <w:rPr>
                <w:rFonts w:ascii="Arial" w:eastAsia="MS Mincho" w:hAnsi="Arial" w:cs="Arial"/>
                <w:sz w:val="20"/>
                <w:szCs w:val="20"/>
              </w:rPr>
            </w:pPr>
          </w:p>
        </w:tc>
      </w:tr>
      <w:tr w:rsidR="00572EB9" w:rsidRPr="00C2339D" w:rsidTr="00582BBA">
        <w:tc>
          <w:tcPr>
            <w:tcW w:w="2041" w:type="dxa"/>
            <w:vAlign w:val="center"/>
          </w:tcPr>
          <w:p w:rsidR="00572EB9" w:rsidRPr="00C2339D" w:rsidRDefault="00572EB9" w:rsidP="00582BBA">
            <w:pPr>
              <w:spacing w:before="60" w:after="60"/>
              <w:jc w:val="center"/>
              <w:rPr>
                <w:rFonts w:ascii="Arial" w:eastAsia="MS Mincho" w:hAnsi="Arial" w:cs="Arial"/>
                <w:sz w:val="20"/>
                <w:szCs w:val="20"/>
              </w:rPr>
            </w:pPr>
            <w:r>
              <w:rPr>
                <w:rFonts w:ascii="Arial" w:eastAsia="MS Mincho" w:hAnsi="Arial" w:cs="Arial"/>
                <w:sz w:val="20"/>
                <w:szCs w:val="20"/>
              </w:rPr>
              <w:t>RENDICONTO</w:t>
            </w:r>
          </w:p>
        </w:tc>
        <w:tc>
          <w:tcPr>
            <w:tcW w:w="2036" w:type="dxa"/>
            <w:shd w:val="clear" w:color="auto" w:fill="auto"/>
          </w:tcPr>
          <w:p w:rsidR="00572EB9" w:rsidRPr="00C2339D" w:rsidRDefault="00572EB9" w:rsidP="00582BBA">
            <w:pPr>
              <w:spacing w:before="60" w:after="60"/>
              <w:jc w:val="both"/>
              <w:rPr>
                <w:rFonts w:ascii="Arial" w:eastAsia="MS Mincho" w:hAnsi="Arial" w:cs="Arial"/>
                <w:sz w:val="20"/>
                <w:szCs w:val="20"/>
              </w:rPr>
            </w:pPr>
            <w:r>
              <w:rPr>
                <w:rFonts w:ascii="Arial" w:eastAsia="MS Mincho" w:hAnsi="Arial" w:cs="Arial"/>
                <w:sz w:val="20"/>
                <w:szCs w:val="20"/>
              </w:rPr>
              <w:t>Tutti gli enti</w:t>
            </w:r>
          </w:p>
        </w:tc>
        <w:tc>
          <w:tcPr>
            <w:tcW w:w="1115" w:type="dxa"/>
            <w:shd w:val="clear" w:color="auto" w:fill="auto"/>
            <w:vAlign w:val="center"/>
          </w:tcPr>
          <w:p w:rsidR="00572EB9" w:rsidRPr="00C2339D" w:rsidRDefault="00572EB9" w:rsidP="00582BBA">
            <w:pPr>
              <w:spacing w:before="60" w:after="60"/>
              <w:jc w:val="center"/>
              <w:rPr>
                <w:rFonts w:ascii="Arial" w:eastAsia="MS Mincho" w:hAnsi="Arial" w:cs="Arial"/>
                <w:sz w:val="20"/>
                <w:szCs w:val="20"/>
              </w:rPr>
            </w:pPr>
            <w:r>
              <w:rPr>
                <w:rFonts w:ascii="Arial" w:eastAsia="MS Mincho" w:hAnsi="Arial" w:cs="Arial"/>
                <w:sz w:val="20"/>
                <w:szCs w:val="20"/>
              </w:rPr>
              <w:t>36%</w:t>
            </w:r>
          </w:p>
        </w:tc>
        <w:tc>
          <w:tcPr>
            <w:tcW w:w="1031" w:type="dxa"/>
            <w:shd w:val="clear" w:color="auto" w:fill="auto"/>
            <w:vAlign w:val="center"/>
          </w:tcPr>
          <w:p w:rsidR="00572EB9" w:rsidRDefault="00572EB9" w:rsidP="00582BBA">
            <w:pPr>
              <w:jc w:val="center"/>
              <w:rPr>
                <w:rFonts w:ascii="Calibri" w:eastAsia="Times New Roman" w:hAnsi="Calibri" w:cs="Times New Roman"/>
              </w:rPr>
            </w:pPr>
            <w:r w:rsidRPr="00C2339D">
              <w:rPr>
                <w:rFonts w:ascii="Arial" w:eastAsia="MS Mincho" w:hAnsi="Arial" w:cs="Arial"/>
                <w:sz w:val="20"/>
                <w:szCs w:val="20"/>
              </w:rPr>
              <w:t>55%</w:t>
            </w:r>
          </w:p>
        </w:tc>
        <w:tc>
          <w:tcPr>
            <w:tcW w:w="1031" w:type="dxa"/>
            <w:shd w:val="clear" w:color="auto" w:fill="auto"/>
            <w:vAlign w:val="center"/>
          </w:tcPr>
          <w:p w:rsidR="00572EB9" w:rsidRDefault="00572EB9" w:rsidP="00582BBA">
            <w:pPr>
              <w:jc w:val="center"/>
              <w:rPr>
                <w:rFonts w:ascii="Calibri" w:eastAsia="Times New Roman" w:hAnsi="Calibri" w:cs="Times New Roman"/>
              </w:rPr>
            </w:pPr>
            <w:r w:rsidRPr="00C2339D">
              <w:rPr>
                <w:rFonts w:ascii="Arial" w:eastAsia="MS Mincho" w:hAnsi="Arial" w:cs="Arial"/>
                <w:sz w:val="20"/>
                <w:szCs w:val="20"/>
              </w:rPr>
              <w:t>70%</w:t>
            </w:r>
          </w:p>
        </w:tc>
        <w:tc>
          <w:tcPr>
            <w:tcW w:w="1031" w:type="dxa"/>
            <w:shd w:val="clear" w:color="auto" w:fill="auto"/>
            <w:vAlign w:val="center"/>
          </w:tcPr>
          <w:p w:rsidR="00572EB9" w:rsidRDefault="00572EB9" w:rsidP="00582BBA">
            <w:pPr>
              <w:jc w:val="center"/>
              <w:rPr>
                <w:rFonts w:ascii="Calibri" w:eastAsia="Times New Roman" w:hAnsi="Calibri" w:cs="Times New Roman"/>
              </w:rPr>
            </w:pPr>
            <w:r w:rsidRPr="00C2339D">
              <w:rPr>
                <w:rFonts w:ascii="Arial" w:eastAsia="MS Mincho" w:hAnsi="Arial" w:cs="Arial"/>
                <w:sz w:val="20"/>
                <w:szCs w:val="20"/>
              </w:rPr>
              <w:t>85%</w:t>
            </w:r>
          </w:p>
        </w:tc>
        <w:tc>
          <w:tcPr>
            <w:tcW w:w="1045" w:type="dxa"/>
            <w:shd w:val="clear" w:color="auto" w:fill="auto"/>
            <w:vAlign w:val="center"/>
          </w:tcPr>
          <w:p w:rsidR="00572EB9" w:rsidRDefault="00572EB9" w:rsidP="00582BBA">
            <w:pPr>
              <w:jc w:val="center"/>
              <w:rPr>
                <w:rFonts w:ascii="Calibri" w:eastAsia="Times New Roman" w:hAnsi="Calibri" w:cs="Times New Roman"/>
              </w:rPr>
            </w:pPr>
            <w:r w:rsidRPr="00C2339D">
              <w:rPr>
                <w:rFonts w:ascii="Arial" w:eastAsia="MS Mincho" w:hAnsi="Arial" w:cs="Arial"/>
                <w:sz w:val="20"/>
                <w:szCs w:val="20"/>
              </w:rPr>
              <w:t>100%</w:t>
            </w:r>
          </w:p>
        </w:tc>
      </w:tr>
    </w:tbl>
    <w:p w:rsidR="00572EB9" w:rsidRDefault="00572EB9" w:rsidP="00572EB9">
      <w:pPr>
        <w:autoSpaceDE w:val="0"/>
        <w:autoSpaceDN w:val="0"/>
        <w:adjustRightInd w:val="0"/>
        <w:ind w:right="-2"/>
        <w:contextualSpacing/>
        <w:jc w:val="both"/>
        <w:rPr>
          <w:rFonts w:ascii="Arial" w:eastAsia="Times New Roman" w:hAnsi="Arial" w:cs="Arial"/>
          <w:sz w:val="20"/>
          <w:szCs w:val="20"/>
        </w:rPr>
      </w:pPr>
    </w:p>
    <w:p w:rsidR="00572EB9" w:rsidRDefault="00572EB9" w:rsidP="00925BC5">
      <w:pPr>
        <w:autoSpaceDE w:val="0"/>
        <w:autoSpaceDN w:val="0"/>
        <w:adjustRightInd w:val="0"/>
        <w:spacing w:after="0" w:line="240" w:lineRule="auto"/>
        <w:jc w:val="both"/>
        <w:rPr>
          <w:rFonts w:ascii="Times New Roman" w:hAnsi="Times New Roman" w:cs="Times New Roman"/>
          <w:sz w:val="24"/>
          <w:szCs w:val="24"/>
        </w:rPr>
      </w:pPr>
    </w:p>
    <w:p w:rsidR="00572EB9" w:rsidRDefault="00572EB9" w:rsidP="00925BC5">
      <w:pPr>
        <w:autoSpaceDE w:val="0"/>
        <w:autoSpaceDN w:val="0"/>
        <w:adjustRightInd w:val="0"/>
        <w:spacing w:after="0" w:line="240" w:lineRule="auto"/>
        <w:jc w:val="both"/>
        <w:rPr>
          <w:rFonts w:ascii="Times New Roman" w:hAnsi="Times New Roman" w:cs="Times New Roman"/>
          <w:sz w:val="24"/>
          <w:szCs w:val="24"/>
        </w:rPr>
      </w:pPr>
    </w:p>
    <w:p w:rsidR="00925BC5" w:rsidRDefault="00925BC5"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meglio comprendere la previsione degli stanziamenti al fondo crediti di dubbia esigibilità si rimanda ai criteri di calcolo sotto</w:t>
      </w:r>
      <w:r w:rsidR="00572EB9">
        <w:rPr>
          <w:rFonts w:ascii="Times New Roman" w:hAnsi="Times New Roman" w:cs="Times New Roman"/>
          <w:sz w:val="24"/>
          <w:szCs w:val="24"/>
        </w:rPr>
        <w:t xml:space="preserve"> </w:t>
      </w:r>
      <w:r>
        <w:rPr>
          <w:rFonts w:ascii="Times New Roman" w:hAnsi="Times New Roman" w:cs="Times New Roman"/>
          <w:sz w:val="24"/>
          <w:szCs w:val="24"/>
        </w:rPr>
        <w:t>specificati.</w:t>
      </w:r>
    </w:p>
    <w:p w:rsidR="00925BC5" w:rsidRDefault="00925BC5"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le entrate che negli esercizi precedenti all’adozione dei nuovi principi sono state accertate per cassa, il fondo crediti di dubbia</w:t>
      </w:r>
      <w:r w:rsidR="00572EB9">
        <w:rPr>
          <w:rFonts w:ascii="Times New Roman" w:hAnsi="Times New Roman" w:cs="Times New Roman"/>
          <w:sz w:val="24"/>
          <w:szCs w:val="24"/>
        </w:rPr>
        <w:t xml:space="preserve"> </w:t>
      </w:r>
      <w:r>
        <w:rPr>
          <w:rFonts w:ascii="Times New Roman" w:hAnsi="Times New Roman" w:cs="Times New Roman"/>
          <w:sz w:val="24"/>
          <w:szCs w:val="24"/>
        </w:rPr>
        <w:t>esigibilità è determinato sulla base di dati extra-contabili confrontando il totale dei ruoli ordinari emessi negli ultimi cinque anni con gli</w:t>
      </w:r>
      <w:r w:rsidR="00572EB9">
        <w:rPr>
          <w:rFonts w:ascii="Times New Roman" w:hAnsi="Times New Roman" w:cs="Times New Roman"/>
          <w:sz w:val="24"/>
          <w:szCs w:val="24"/>
        </w:rPr>
        <w:t xml:space="preserve"> </w:t>
      </w:r>
      <w:r>
        <w:rPr>
          <w:rFonts w:ascii="Times New Roman" w:hAnsi="Times New Roman" w:cs="Times New Roman"/>
          <w:sz w:val="24"/>
          <w:szCs w:val="24"/>
        </w:rPr>
        <w:t>incassi complessivi registrati nei medesimi esercizi.</w:t>
      </w:r>
    </w:p>
    <w:p w:rsidR="00925BC5" w:rsidRDefault="00925BC5"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media può essere calcolata secondo le seguenti modalità:</w:t>
      </w:r>
    </w:p>
    <w:p w:rsidR="00925BC5" w:rsidRDefault="00925BC5"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572EB9">
        <w:rPr>
          <w:rFonts w:ascii="Times New Roman" w:hAnsi="Times New Roman" w:cs="Times New Roman"/>
          <w:b/>
          <w:sz w:val="24"/>
          <w:szCs w:val="24"/>
        </w:rPr>
        <w:t>media semplice</w:t>
      </w:r>
      <w:r>
        <w:rPr>
          <w:rFonts w:ascii="Times New Roman" w:hAnsi="Times New Roman" w:cs="Times New Roman"/>
          <w:sz w:val="24"/>
          <w:szCs w:val="24"/>
        </w:rPr>
        <w:t>;</w:t>
      </w:r>
    </w:p>
    <w:p w:rsidR="00925BC5" w:rsidRDefault="00925BC5"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 rapporto tra la sommatoria degli incassi di ciascun anno ponderati con i seguenti pesi: 0,35 in ciascuno degli anni nel biennio</w:t>
      </w:r>
      <w:r w:rsidR="00572EB9">
        <w:rPr>
          <w:rFonts w:ascii="Times New Roman" w:hAnsi="Times New Roman" w:cs="Times New Roman"/>
          <w:sz w:val="24"/>
          <w:szCs w:val="24"/>
        </w:rPr>
        <w:t xml:space="preserve"> </w:t>
      </w:r>
      <w:r>
        <w:rPr>
          <w:rFonts w:ascii="Times New Roman" w:hAnsi="Times New Roman" w:cs="Times New Roman"/>
          <w:sz w:val="24"/>
          <w:szCs w:val="24"/>
        </w:rPr>
        <w:t>precedente e il 0,10 in ciascuno degli anni del primo triennio - rispetto alla sommatoria degli accertamenti di ciascuna anno ponderati coni medesimi pesi indicati per gli incassi;</w:t>
      </w:r>
    </w:p>
    <w:p w:rsidR="00925BC5" w:rsidRDefault="00925BC5"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572EB9">
        <w:rPr>
          <w:rFonts w:ascii="Times New Roman" w:hAnsi="Times New Roman" w:cs="Times New Roman"/>
          <w:b/>
          <w:sz w:val="24"/>
          <w:szCs w:val="24"/>
        </w:rPr>
        <w:t>media ponderata del rapporto tra incassi e accertamenti</w:t>
      </w:r>
      <w:r>
        <w:rPr>
          <w:rFonts w:ascii="Times New Roman" w:hAnsi="Times New Roman" w:cs="Times New Roman"/>
          <w:sz w:val="24"/>
          <w:szCs w:val="24"/>
        </w:rPr>
        <w:t xml:space="preserve"> registrato in ciascun anno del quinquennio con i seguenti pesi: 0,35 in ciascuno</w:t>
      </w:r>
      <w:r w:rsidR="00572EB9">
        <w:rPr>
          <w:rFonts w:ascii="Times New Roman" w:hAnsi="Times New Roman" w:cs="Times New Roman"/>
          <w:sz w:val="24"/>
          <w:szCs w:val="24"/>
        </w:rPr>
        <w:t xml:space="preserve"> </w:t>
      </w:r>
      <w:r>
        <w:rPr>
          <w:rFonts w:ascii="Times New Roman" w:hAnsi="Times New Roman" w:cs="Times New Roman"/>
          <w:sz w:val="24"/>
          <w:szCs w:val="24"/>
        </w:rPr>
        <w:t>degli anni nel biennio precedente e il 0,10 in ciascuno degli anni del primo triennio;</w:t>
      </w:r>
    </w:p>
    <w:p w:rsidR="00572EB9" w:rsidRDefault="00572EB9" w:rsidP="00572EB9">
      <w:pPr>
        <w:autoSpaceDE w:val="0"/>
        <w:autoSpaceDN w:val="0"/>
        <w:adjustRightInd w:val="0"/>
        <w:spacing w:after="0" w:line="240" w:lineRule="auto"/>
        <w:jc w:val="both"/>
        <w:rPr>
          <w:rFonts w:ascii="Times New Roman" w:hAnsi="Times New Roman" w:cs="Times New Roman"/>
          <w:sz w:val="24"/>
          <w:szCs w:val="24"/>
        </w:rPr>
      </w:pPr>
    </w:p>
    <w:p w:rsidR="00572EB9" w:rsidRDefault="00572EB9"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ciascuna formula è possibile determinare il rapporto tra incassi di competenza e i relativi accertamenti, considerando tra gli incassi anche le riscossioni effettuate nell’anno successivo in conto residui dell’anno precedente:</w:t>
      </w: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incassi di competenza es. X + incassi esercizio X+1 in c/residui X</w:t>
      </w:r>
    </w:p>
    <w:p w:rsidR="00572EB9" w:rsidRDefault="00572EB9" w:rsidP="00572EB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572EB9" w:rsidRDefault="00572EB9" w:rsidP="00572EB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Accertamenti esercizio X</w:t>
      </w: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le entrate di nuova istituzione (per le quali non esiste una evidenza storica), nel primo anno la quantificazione del fondo è rimessa alla prudente valutazione degli enti. A decorrere dall’anno successivo, la quantificazione è effettuata con il criterio generale riferito agli anni precedenti.</w:t>
      </w: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Fatta questa premessa l’ente ha ritenuto di dover applicare come modalità di calcolo la media semplice, considerando tra gli incassi anche le riscossioni effettuate nell’anno successivo (anno X + 1). Provvedendo all’accantonamento pari al 100% dell’importo risultante.  Le risultanze sono rappresentate nelle tabelle seguenti:</w:t>
      </w:r>
    </w:p>
    <w:p w:rsidR="00572EB9" w:rsidRDefault="00572EB9" w:rsidP="00572EB9">
      <w:pPr>
        <w:autoSpaceDE w:val="0"/>
        <w:autoSpaceDN w:val="0"/>
        <w:adjustRightInd w:val="0"/>
        <w:spacing w:after="0" w:line="240" w:lineRule="auto"/>
        <w:jc w:val="both"/>
        <w:rPr>
          <w:rFonts w:ascii="Times New Roman" w:hAnsi="Times New Roman" w:cs="Times New Roman"/>
          <w:sz w:val="24"/>
          <w:szCs w:val="24"/>
        </w:rPr>
      </w:pPr>
    </w:p>
    <w:tbl>
      <w:tblPr>
        <w:tblW w:w="10221" w:type="dxa"/>
        <w:tblInd w:w="55" w:type="dxa"/>
        <w:tblCellMar>
          <w:left w:w="70" w:type="dxa"/>
          <w:right w:w="70" w:type="dxa"/>
        </w:tblCellMar>
        <w:tblLook w:val="04A0"/>
      </w:tblPr>
      <w:tblGrid>
        <w:gridCol w:w="1010"/>
        <w:gridCol w:w="2124"/>
        <w:gridCol w:w="1417"/>
        <w:gridCol w:w="1843"/>
        <w:gridCol w:w="1654"/>
        <w:gridCol w:w="1654"/>
        <w:gridCol w:w="519"/>
      </w:tblGrid>
      <w:tr w:rsidR="002F0CE6" w:rsidRPr="002F0CE6" w:rsidTr="00582BBA">
        <w:trPr>
          <w:trHeight w:val="300"/>
        </w:trPr>
        <w:tc>
          <w:tcPr>
            <w:tcW w:w="8048" w:type="dxa"/>
            <w:gridSpan w:val="5"/>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center"/>
              <w:rPr>
                <w:rFonts w:ascii="Calibri" w:eastAsia="Times New Roman" w:hAnsi="Calibri" w:cs="Times New Roman"/>
                <w:color w:val="000000"/>
              </w:rPr>
            </w:pPr>
            <w:r w:rsidRPr="002F0CE6">
              <w:rPr>
                <w:rFonts w:ascii="Calibri" w:eastAsia="Times New Roman" w:hAnsi="Calibri" w:cs="Times New Roman"/>
                <w:color w:val="000000"/>
              </w:rPr>
              <w:t>COMUNE DI SORRADILE</w:t>
            </w:r>
          </w:p>
        </w:tc>
        <w:tc>
          <w:tcPr>
            <w:tcW w:w="1654" w:type="dxa"/>
            <w:tcBorders>
              <w:top w:val="nil"/>
              <w:left w:val="nil"/>
              <w:bottom w:val="nil"/>
              <w:right w:val="nil"/>
            </w:tcBorders>
            <w:shd w:val="clear" w:color="auto" w:fill="auto"/>
            <w:noWrap/>
            <w:vAlign w:val="bottom"/>
            <w:hideMark/>
          </w:tcPr>
          <w:p w:rsidR="002F0CE6" w:rsidRPr="002F0CE6" w:rsidRDefault="002F0CE6" w:rsidP="00582BBA">
            <w:pPr>
              <w:spacing w:after="0" w:line="240" w:lineRule="auto"/>
              <w:ind w:right="1619"/>
              <w:rPr>
                <w:rFonts w:ascii="Calibri" w:eastAsia="Times New Roman" w:hAnsi="Calibri" w:cs="Times New Roman"/>
                <w:color w:val="000000"/>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482"/>
        </w:trPr>
        <w:tc>
          <w:tcPr>
            <w:tcW w:w="8048" w:type="dxa"/>
            <w:gridSpan w:val="5"/>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center"/>
              <w:rPr>
                <w:rFonts w:ascii="Calibri" w:eastAsia="Times New Roman" w:hAnsi="Calibri" w:cs="Times New Roman"/>
                <w:color w:val="000000"/>
              </w:rPr>
            </w:pPr>
            <w:r w:rsidRPr="002F0CE6">
              <w:rPr>
                <w:rFonts w:ascii="Calibri" w:eastAsia="Times New Roman" w:hAnsi="Calibri" w:cs="Times New Roman"/>
                <w:color w:val="000000"/>
              </w:rPr>
              <w:t>Composizione dell'accantonamento del fondo di dubbia esigibilità</w:t>
            </w: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8048" w:type="dxa"/>
            <w:gridSpan w:val="5"/>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center"/>
              <w:rPr>
                <w:rFonts w:ascii="Calibri" w:eastAsia="Times New Roman" w:hAnsi="Calibri" w:cs="Times New Roman"/>
                <w:color w:val="000000"/>
              </w:rPr>
            </w:pPr>
            <w:r w:rsidRPr="002F0CE6">
              <w:rPr>
                <w:rFonts w:ascii="Calibri" w:eastAsia="Times New Roman" w:hAnsi="Calibri" w:cs="Times New Roman"/>
                <w:color w:val="000000"/>
              </w:rPr>
              <w:t>Esercizio finanziario 2016</w:t>
            </w: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855"/>
        </w:trPr>
        <w:tc>
          <w:tcPr>
            <w:tcW w:w="1010"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r w:rsidRPr="002F0CE6">
              <w:rPr>
                <w:rFonts w:ascii="Calibri" w:eastAsia="Times New Roman" w:hAnsi="Calibri" w:cs="Times New Roman"/>
                <w:color w:val="000000"/>
              </w:rPr>
              <w:t>tipologia</w:t>
            </w:r>
          </w:p>
        </w:tc>
        <w:tc>
          <w:tcPr>
            <w:tcW w:w="212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r w:rsidRPr="002F0CE6">
              <w:rPr>
                <w:rFonts w:ascii="Calibri" w:eastAsia="Times New Roman" w:hAnsi="Calibri" w:cs="Times New Roman"/>
                <w:color w:val="000000"/>
              </w:rPr>
              <w:t>denominazione</w:t>
            </w:r>
          </w:p>
        </w:tc>
        <w:tc>
          <w:tcPr>
            <w:tcW w:w="1417" w:type="dxa"/>
            <w:tcBorders>
              <w:top w:val="nil"/>
              <w:left w:val="nil"/>
              <w:bottom w:val="nil"/>
              <w:right w:val="nil"/>
            </w:tcBorders>
            <w:shd w:val="clear" w:color="auto" w:fill="auto"/>
            <w:vAlign w:val="bottom"/>
            <w:hideMark/>
          </w:tcPr>
          <w:p w:rsidR="002F0CE6" w:rsidRPr="002F0CE6" w:rsidRDefault="002F0CE6" w:rsidP="002F0CE6">
            <w:pPr>
              <w:spacing w:after="0" w:line="240" w:lineRule="auto"/>
              <w:rPr>
                <w:rFonts w:ascii="Calibri" w:eastAsia="Times New Roman" w:hAnsi="Calibri" w:cs="Times New Roman"/>
                <w:color w:val="000000"/>
              </w:rPr>
            </w:pPr>
            <w:r w:rsidRPr="002F0CE6">
              <w:rPr>
                <w:rFonts w:ascii="Calibri" w:eastAsia="Times New Roman" w:hAnsi="Calibri" w:cs="Times New Roman"/>
                <w:color w:val="000000"/>
              </w:rPr>
              <w:t>stanziamento in bilancio</w:t>
            </w:r>
          </w:p>
        </w:tc>
        <w:tc>
          <w:tcPr>
            <w:tcW w:w="1843" w:type="dxa"/>
            <w:tcBorders>
              <w:top w:val="nil"/>
              <w:left w:val="nil"/>
              <w:bottom w:val="nil"/>
              <w:right w:val="nil"/>
            </w:tcBorders>
            <w:shd w:val="clear" w:color="auto" w:fill="auto"/>
            <w:vAlign w:val="bottom"/>
            <w:hideMark/>
          </w:tcPr>
          <w:p w:rsidR="002F0CE6" w:rsidRPr="002F0CE6" w:rsidRDefault="002F0CE6" w:rsidP="002F0CE6">
            <w:pPr>
              <w:spacing w:after="0" w:line="240" w:lineRule="auto"/>
              <w:rPr>
                <w:rFonts w:ascii="Calibri" w:eastAsia="Times New Roman" w:hAnsi="Calibri" w:cs="Times New Roman"/>
                <w:color w:val="000000"/>
              </w:rPr>
            </w:pPr>
            <w:r w:rsidRPr="002F0CE6">
              <w:rPr>
                <w:rFonts w:ascii="Calibri" w:eastAsia="Times New Roman" w:hAnsi="Calibri" w:cs="Times New Roman"/>
                <w:color w:val="000000"/>
              </w:rPr>
              <w:t xml:space="preserve">accantonamento obbligatorio </w:t>
            </w:r>
          </w:p>
        </w:tc>
        <w:tc>
          <w:tcPr>
            <w:tcW w:w="1654" w:type="dxa"/>
            <w:tcBorders>
              <w:top w:val="nil"/>
              <w:left w:val="nil"/>
              <w:bottom w:val="nil"/>
              <w:right w:val="nil"/>
            </w:tcBorders>
            <w:shd w:val="clear" w:color="auto" w:fill="auto"/>
            <w:vAlign w:val="bottom"/>
            <w:hideMark/>
          </w:tcPr>
          <w:p w:rsidR="002F0CE6" w:rsidRPr="002F0CE6" w:rsidRDefault="002F0CE6" w:rsidP="002F0CE6">
            <w:pPr>
              <w:spacing w:after="0" w:line="240" w:lineRule="auto"/>
              <w:rPr>
                <w:rFonts w:ascii="Calibri" w:eastAsia="Times New Roman" w:hAnsi="Calibri" w:cs="Times New Roman"/>
                <w:color w:val="000000"/>
              </w:rPr>
            </w:pPr>
            <w:r w:rsidRPr="002F0CE6">
              <w:rPr>
                <w:rFonts w:ascii="Calibri" w:eastAsia="Times New Roman" w:hAnsi="Calibri" w:cs="Times New Roman"/>
                <w:color w:val="000000"/>
              </w:rPr>
              <w:t>accantonamento effettivo</w:t>
            </w:r>
          </w:p>
        </w:tc>
        <w:tc>
          <w:tcPr>
            <w:tcW w:w="1654" w:type="dxa"/>
            <w:tcBorders>
              <w:top w:val="nil"/>
              <w:left w:val="nil"/>
              <w:bottom w:val="nil"/>
              <w:right w:val="nil"/>
            </w:tcBorders>
            <w:shd w:val="clear" w:color="auto" w:fill="auto"/>
            <w:vAlign w:val="bottom"/>
            <w:hideMark/>
          </w:tcPr>
          <w:p w:rsidR="002F0CE6" w:rsidRPr="002F0CE6" w:rsidRDefault="002F0CE6" w:rsidP="002F0CE6">
            <w:pPr>
              <w:spacing w:after="0" w:line="240" w:lineRule="auto"/>
              <w:rPr>
                <w:rFonts w:ascii="Calibri" w:eastAsia="Times New Roman" w:hAnsi="Calibri" w:cs="Times New Roman"/>
                <w:color w:val="000000"/>
              </w:rPr>
            </w:pPr>
            <w:r w:rsidRPr="002F0CE6">
              <w:rPr>
                <w:rFonts w:ascii="Calibri" w:eastAsia="Times New Roman" w:hAnsi="Calibri" w:cs="Times New Roman"/>
                <w:color w:val="000000"/>
              </w:rPr>
              <w:t>percentuale di accantonamento</w:t>
            </w: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1010"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1006</w:t>
            </w:r>
          </w:p>
        </w:tc>
        <w:tc>
          <w:tcPr>
            <w:tcW w:w="212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r w:rsidRPr="002F0CE6">
              <w:rPr>
                <w:rFonts w:ascii="Calibri" w:eastAsia="Times New Roman" w:hAnsi="Calibri" w:cs="Times New Roman"/>
                <w:color w:val="000000"/>
              </w:rPr>
              <w:t>IMPOSTA SULLA PUBBLICITà</w:t>
            </w:r>
          </w:p>
        </w:tc>
        <w:tc>
          <w:tcPr>
            <w:tcW w:w="1417"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150,00</w:t>
            </w:r>
          </w:p>
        </w:tc>
        <w:tc>
          <w:tcPr>
            <w:tcW w:w="1843"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41,01</w:t>
            </w: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41,01</w:t>
            </w: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27,34</w:t>
            </w: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1010"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1025</w:t>
            </w:r>
          </w:p>
        </w:tc>
        <w:tc>
          <w:tcPr>
            <w:tcW w:w="212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r w:rsidRPr="002F0CE6">
              <w:rPr>
                <w:rFonts w:ascii="Calibri" w:eastAsia="Times New Roman" w:hAnsi="Calibri" w:cs="Times New Roman"/>
                <w:color w:val="000000"/>
              </w:rPr>
              <w:t>TARI</w:t>
            </w:r>
          </w:p>
        </w:tc>
        <w:tc>
          <w:tcPr>
            <w:tcW w:w="1417"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50.585,00</w:t>
            </w:r>
          </w:p>
        </w:tc>
        <w:tc>
          <w:tcPr>
            <w:tcW w:w="1843"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11.650,99</w:t>
            </w: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11.650,89</w:t>
            </w: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23,03</w:t>
            </w: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1010" w:type="dxa"/>
            <w:tcBorders>
              <w:top w:val="nil"/>
              <w:left w:val="nil"/>
              <w:bottom w:val="nil"/>
              <w:right w:val="nil"/>
            </w:tcBorders>
            <w:shd w:val="clear" w:color="auto" w:fill="auto"/>
            <w:noWrap/>
            <w:vAlign w:val="bottom"/>
            <w:hideMark/>
          </w:tcPr>
          <w:p w:rsidR="002F0CE6" w:rsidRPr="002F0CE6" w:rsidRDefault="002F0CE6" w:rsidP="00FD6AD5">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1010</w:t>
            </w:r>
            <w:r w:rsidR="00FD6AD5">
              <w:rPr>
                <w:rFonts w:ascii="Calibri" w:eastAsia="Times New Roman" w:hAnsi="Calibri" w:cs="Times New Roman"/>
                <w:color w:val="000000"/>
              </w:rPr>
              <w:t xml:space="preserve"> </w:t>
            </w:r>
          </w:p>
        </w:tc>
        <w:tc>
          <w:tcPr>
            <w:tcW w:w="212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r w:rsidRPr="002F0CE6">
              <w:rPr>
                <w:rFonts w:ascii="Calibri" w:eastAsia="Times New Roman" w:hAnsi="Calibri" w:cs="Times New Roman"/>
                <w:color w:val="000000"/>
              </w:rPr>
              <w:t xml:space="preserve">ICI/IMU </w:t>
            </w:r>
          </w:p>
        </w:tc>
        <w:tc>
          <w:tcPr>
            <w:tcW w:w="1417"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37.540,64</w:t>
            </w:r>
          </w:p>
        </w:tc>
        <w:tc>
          <w:tcPr>
            <w:tcW w:w="1843"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1.745,80</w:t>
            </w: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1.745,08</w:t>
            </w: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4,65</w:t>
            </w: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1010" w:type="dxa"/>
            <w:tcBorders>
              <w:top w:val="nil"/>
              <w:left w:val="nil"/>
              <w:bottom w:val="nil"/>
              <w:right w:val="nil"/>
            </w:tcBorders>
            <w:shd w:val="clear" w:color="auto" w:fill="auto"/>
            <w:noWrap/>
            <w:vAlign w:val="bottom"/>
            <w:hideMark/>
          </w:tcPr>
          <w:p w:rsidR="002F0CE6" w:rsidRPr="002F0CE6" w:rsidRDefault="002F0CE6" w:rsidP="00FD6AD5">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101</w:t>
            </w:r>
            <w:r w:rsidR="00FD6AD5">
              <w:rPr>
                <w:rFonts w:ascii="Calibri" w:eastAsia="Times New Roman" w:hAnsi="Calibri" w:cs="Times New Roman"/>
                <w:color w:val="000000"/>
              </w:rPr>
              <w:t>1</w:t>
            </w:r>
          </w:p>
        </w:tc>
        <w:tc>
          <w:tcPr>
            <w:tcW w:w="212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r w:rsidRPr="002F0CE6">
              <w:rPr>
                <w:rFonts w:ascii="Calibri" w:eastAsia="Times New Roman" w:hAnsi="Calibri" w:cs="Times New Roman"/>
                <w:color w:val="000000"/>
              </w:rPr>
              <w:t>ICI/IMU anni precedenti</w:t>
            </w:r>
          </w:p>
        </w:tc>
        <w:tc>
          <w:tcPr>
            <w:tcW w:w="1417"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2.200,00</w:t>
            </w:r>
          </w:p>
        </w:tc>
        <w:tc>
          <w:tcPr>
            <w:tcW w:w="1843"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1.658,95</w:t>
            </w: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1.658,95</w:t>
            </w: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75,41</w:t>
            </w: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1010"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212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417"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843"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1010"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212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417"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843"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1010"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212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417"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843"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1010"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212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417"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843"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r w:rsidR="002F0CE6" w:rsidRPr="002F0CE6" w:rsidTr="00582BBA">
        <w:trPr>
          <w:trHeight w:val="300"/>
        </w:trPr>
        <w:tc>
          <w:tcPr>
            <w:tcW w:w="1010"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212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r w:rsidRPr="002F0CE6">
              <w:rPr>
                <w:rFonts w:ascii="Calibri" w:eastAsia="Times New Roman" w:hAnsi="Calibri" w:cs="Times New Roman"/>
                <w:color w:val="000000"/>
              </w:rPr>
              <w:t xml:space="preserve">TOTALE </w:t>
            </w:r>
          </w:p>
        </w:tc>
        <w:tc>
          <w:tcPr>
            <w:tcW w:w="1417"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90.475,64</w:t>
            </w:r>
          </w:p>
        </w:tc>
        <w:tc>
          <w:tcPr>
            <w:tcW w:w="1843" w:type="dxa"/>
            <w:tcBorders>
              <w:top w:val="nil"/>
              <w:left w:val="nil"/>
              <w:bottom w:val="nil"/>
              <w:right w:val="nil"/>
            </w:tcBorders>
            <w:shd w:val="clear" w:color="auto" w:fill="auto"/>
            <w:noWrap/>
            <w:vAlign w:val="bottom"/>
            <w:hideMark/>
          </w:tcPr>
          <w:p w:rsidR="002F0CE6" w:rsidRPr="002F0CE6" w:rsidRDefault="002F0CE6" w:rsidP="00214A09">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15.09</w:t>
            </w:r>
            <w:r w:rsidR="00214A09">
              <w:rPr>
                <w:rFonts w:ascii="Calibri" w:eastAsia="Times New Roman" w:hAnsi="Calibri" w:cs="Times New Roman"/>
                <w:color w:val="000000"/>
              </w:rPr>
              <w:t>5</w:t>
            </w:r>
            <w:r w:rsidRPr="002F0CE6">
              <w:rPr>
                <w:rFonts w:ascii="Calibri" w:eastAsia="Times New Roman" w:hAnsi="Calibri" w:cs="Times New Roman"/>
                <w:color w:val="000000"/>
              </w:rPr>
              <w:t>,</w:t>
            </w:r>
            <w:r w:rsidR="00214A09">
              <w:rPr>
                <w:rFonts w:ascii="Calibri" w:eastAsia="Times New Roman" w:hAnsi="Calibri" w:cs="Times New Roman"/>
                <w:color w:val="000000"/>
              </w:rPr>
              <w:t>93</w:t>
            </w: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jc w:val="right"/>
              <w:rPr>
                <w:rFonts w:ascii="Calibri" w:eastAsia="Times New Roman" w:hAnsi="Calibri" w:cs="Times New Roman"/>
                <w:color w:val="000000"/>
              </w:rPr>
            </w:pPr>
            <w:r w:rsidRPr="002F0CE6">
              <w:rPr>
                <w:rFonts w:ascii="Calibri" w:eastAsia="Times New Roman" w:hAnsi="Calibri" w:cs="Times New Roman"/>
                <w:color w:val="000000"/>
              </w:rPr>
              <w:t>15.095,93</w:t>
            </w:r>
          </w:p>
        </w:tc>
        <w:tc>
          <w:tcPr>
            <w:tcW w:w="1654"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c>
          <w:tcPr>
            <w:tcW w:w="519" w:type="dxa"/>
            <w:tcBorders>
              <w:top w:val="nil"/>
              <w:left w:val="nil"/>
              <w:bottom w:val="nil"/>
              <w:right w:val="nil"/>
            </w:tcBorders>
            <w:shd w:val="clear" w:color="auto" w:fill="auto"/>
            <w:noWrap/>
            <w:vAlign w:val="bottom"/>
            <w:hideMark/>
          </w:tcPr>
          <w:p w:rsidR="002F0CE6" w:rsidRPr="002F0CE6" w:rsidRDefault="002F0CE6" w:rsidP="002F0CE6">
            <w:pPr>
              <w:spacing w:after="0" w:line="240" w:lineRule="auto"/>
              <w:rPr>
                <w:rFonts w:ascii="Calibri" w:eastAsia="Times New Roman" w:hAnsi="Calibri" w:cs="Times New Roman"/>
                <w:color w:val="000000"/>
              </w:rPr>
            </w:pPr>
          </w:p>
        </w:tc>
      </w:tr>
    </w:tbl>
    <w:p w:rsidR="00572EB9" w:rsidRDefault="00572EB9" w:rsidP="00572EB9">
      <w:pPr>
        <w:autoSpaceDE w:val="0"/>
        <w:autoSpaceDN w:val="0"/>
        <w:adjustRightInd w:val="0"/>
        <w:spacing w:after="0" w:line="240" w:lineRule="auto"/>
        <w:jc w:val="both"/>
        <w:rPr>
          <w:rFonts w:ascii="Times New Roman" w:hAnsi="Times New Roman" w:cs="Times New Roman"/>
          <w:sz w:val="24"/>
          <w:szCs w:val="24"/>
        </w:rPr>
      </w:pP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Non si ravvisa la necessità di istituire ulteriori accantonamenti in sede di bilancio di previsione, anche per evitare di distrarre risorse alla gestione. In sede di consuntivo si valuteranno i singoli crediti non riscossi e verranno effettuate le valutazioni del caso.</w:t>
      </w: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rPr>
          <w:rFonts w:ascii="Times New Roman" w:hAnsi="Times New Roman" w:cs="Times New Roman"/>
          <w:sz w:val="24"/>
          <w:szCs w:val="24"/>
        </w:rPr>
      </w:pPr>
    </w:p>
    <w:p w:rsidR="00572EB9" w:rsidRDefault="00572EB9" w:rsidP="00572EB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Elenco analitico delle quote vincolate e accantonate del risultato di amministrazione presunto al 31 dicembre 2015.</w:t>
      </w:r>
    </w:p>
    <w:p w:rsidR="00572EB9" w:rsidRDefault="00572EB9" w:rsidP="00572E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L’avanzo di amministrazione presunto al 31.12.2015 ammonta a euro </w:t>
      </w:r>
      <w:r w:rsidR="002D3554">
        <w:rPr>
          <w:rFonts w:ascii="Times New Roman" w:hAnsi="Times New Roman" w:cs="Times New Roman"/>
          <w:sz w:val="24"/>
          <w:szCs w:val="24"/>
        </w:rPr>
        <w:t>565.545,38</w:t>
      </w:r>
      <w:r w:rsidR="005F4AF0">
        <w:rPr>
          <w:rFonts w:ascii="Times New Roman" w:hAnsi="Times New Roman" w:cs="Times New Roman"/>
          <w:sz w:val="24"/>
          <w:szCs w:val="24"/>
        </w:rPr>
        <w:t>.</w:t>
      </w:r>
    </w:p>
    <w:p w:rsidR="005F4AF0" w:rsidRDefault="005F4AF0" w:rsidP="00572EB9">
      <w:pPr>
        <w:autoSpaceDE w:val="0"/>
        <w:autoSpaceDN w:val="0"/>
        <w:adjustRightInd w:val="0"/>
        <w:spacing w:after="0" w:line="240" w:lineRule="auto"/>
        <w:rPr>
          <w:rFonts w:ascii="Times New Roman" w:hAnsi="Times New Roman" w:cs="Times New Roman"/>
          <w:sz w:val="24"/>
          <w:szCs w:val="24"/>
        </w:rPr>
      </w:pPr>
    </w:p>
    <w:p w:rsidR="009214D2" w:rsidRDefault="00572EB9" w:rsidP="002D35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tale importo è ricompreso anche l’avanzo di amministrazione risultante dal rendiconto di gestione 2014, approvato con delibera consiliare n</w:t>
      </w:r>
      <w:r w:rsidRPr="00572EB9">
        <w:rPr>
          <w:rFonts w:ascii="Times New Roman" w:hAnsi="Times New Roman" w:cs="Times New Roman"/>
          <w:sz w:val="24"/>
          <w:szCs w:val="24"/>
          <w:highlight w:val="yellow"/>
        </w:rPr>
        <w:t xml:space="preserve">. </w:t>
      </w:r>
      <w:r w:rsidR="002D3554">
        <w:rPr>
          <w:rFonts w:ascii="Times New Roman" w:hAnsi="Times New Roman" w:cs="Times New Roman"/>
          <w:sz w:val="24"/>
          <w:szCs w:val="24"/>
          <w:highlight w:val="yellow"/>
        </w:rPr>
        <w:t>09</w:t>
      </w:r>
      <w:r w:rsidRPr="00572EB9">
        <w:rPr>
          <w:rFonts w:ascii="Times New Roman" w:hAnsi="Times New Roman" w:cs="Times New Roman"/>
          <w:sz w:val="24"/>
          <w:szCs w:val="24"/>
          <w:highlight w:val="yellow"/>
        </w:rPr>
        <w:t xml:space="preserve"> del 30.6.2014 e</w:t>
      </w:r>
      <w:r>
        <w:rPr>
          <w:rFonts w:ascii="Times New Roman" w:hAnsi="Times New Roman" w:cs="Times New Roman"/>
          <w:sz w:val="24"/>
          <w:szCs w:val="24"/>
        </w:rPr>
        <w:t xml:space="preserve"> non applicato al bilancio 2014 </w:t>
      </w:r>
      <w:r w:rsidR="002D3554">
        <w:rPr>
          <w:rFonts w:ascii="Times New Roman" w:hAnsi="Times New Roman" w:cs="Times New Roman"/>
          <w:sz w:val="24"/>
          <w:szCs w:val="24"/>
        </w:rPr>
        <w:t>. Nel corso dell’anno 2015 si è provveduto ad applicare la somma di €  480.674,15 di avanzo di amministrazione.</w:t>
      </w:r>
    </w:p>
    <w:p w:rsidR="005F4AF0" w:rsidRDefault="005F4AF0" w:rsidP="005F4AF0">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€ 252.000,00 per spese di investimento, ( delibera C.C. n° 12 del 11/06/2015);</w:t>
      </w:r>
    </w:p>
    <w:p w:rsidR="005F4AF0" w:rsidRDefault="005F4AF0" w:rsidP="005F4AF0">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Per € 45.929,00 avanzo vincolato  per fondi relativi al  servizio Sociale  ( delibera C.C. n° 20 del 14/07/2015);</w:t>
      </w:r>
    </w:p>
    <w:p w:rsidR="005F4AF0" w:rsidRDefault="005F4AF0" w:rsidP="005F4AF0">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€ 76.269,91 avanzo vincolato  per fondi relativi al  servizio Sociale  ( delibera C.C. n° 36 del 26/11/2015)</w:t>
      </w:r>
    </w:p>
    <w:p w:rsidR="005F4AF0" w:rsidRDefault="005F4AF0" w:rsidP="005F4AF0">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€ 88.000,00 per spese di investimento, ( delibera C.C. n° 30  del 05/11/2015);</w:t>
      </w:r>
    </w:p>
    <w:p w:rsidR="005F4AF0" w:rsidRDefault="005F4AF0" w:rsidP="005F4AF0">
      <w:pPr>
        <w:pStyle w:val="Paragrafoelenco"/>
        <w:autoSpaceDE w:val="0"/>
        <w:autoSpaceDN w:val="0"/>
        <w:adjustRightInd w:val="0"/>
        <w:spacing w:after="0" w:line="240" w:lineRule="auto"/>
        <w:jc w:val="both"/>
        <w:rPr>
          <w:rFonts w:ascii="Times New Roman" w:hAnsi="Times New Roman" w:cs="Times New Roman"/>
          <w:sz w:val="24"/>
          <w:szCs w:val="24"/>
        </w:rPr>
      </w:pPr>
    </w:p>
    <w:p w:rsidR="005F4AF0" w:rsidRPr="005F4AF0" w:rsidRDefault="005F4AF0" w:rsidP="005F4AF0">
      <w:pPr>
        <w:autoSpaceDE w:val="0"/>
        <w:autoSpaceDN w:val="0"/>
        <w:adjustRightInd w:val="0"/>
        <w:spacing w:after="0" w:line="240" w:lineRule="auto"/>
        <w:jc w:val="both"/>
        <w:rPr>
          <w:rFonts w:ascii="Times New Roman" w:hAnsi="Times New Roman" w:cs="Times New Roman"/>
          <w:sz w:val="24"/>
          <w:szCs w:val="24"/>
        </w:rPr>
      </w:pPr>
    </w:p>
    <w:p w:rsidR="009214D2" w:rsidRPr="002D3554" w:rsidRDefault="002D3554" w:rsidP="002D3554">
      <w:pPr>
        <w:autoSpaceDE w:val="0"/>
        <w:autoSpaceDN w:val="0"/>
        <w:adjustRightInd w:val="0"/>
        <w:spacing w:after="0" w:line="240" w:lineRule="auto"/>
        <w:jc w:val="both"/>
        <w:rPr>
          <w:rFonts w:ascii="Arial" w:hAnsi="Arial" w:cs="Arial"/>
          <w:b/>
          <w:bCs/>
          <w:color w:val="FF0000"/>
          <w:sz w:val="20"/>
          <w:szCs w:val="20"/>
        </w:rPr>
      </w:pPr>
      <w:r w:rsidRPr="002D3554">
        <w:rPr>
          <w:rFonts w:ascii="Times New Roman" w:hAnsi="Times New Roman" w:cs="Times New Roman"/>
          <w:color w:val="FF0000"/>
          <w:sz w:val="24"/>
          <w:szCs w:val="24"/>
        </w:rPr>
        <w:t xml:space="preserve"> Vedi allegata  </w:t>
      </w:r>
      <w:r w:rsidR="009214D2" w:rsidRPr="002D3554">
        <w:rPr>
          <w:rFonts w:ascii="Arial" w:hAnsi="Arial" w:cs="Arial"/>
          <w:b/>
          <w:bCs/>
          <w:color w:val="FF0000"/>
          <w:sz w:val="20"/>
          <w:szCs w:val="20"/>
        </w:rPr>
        <w:t>TABELLA DIMOSTRATIVA DEL RISULTATO DI AMMINISTRAZIONE PRESUNTO (ALL'INIZIO DELL'ESERCIZIO 2016) DI RIFERIMENTO DEL BILANCIO DI PREVISIONE</w:t>
      </w:r>
      <w:r w:rsidRPr="002D3554">
        <w:rPr>
          <w:rFonts w:ascii="Arial" w:hAnsi="Arial" w:cs="Arial"/>
          <w:b/>
          <w:bCs/>
          <w:color w:val="FF0000"/>
          <w:sz w:val="20"/>
          <w:szCs w:val="20"/>
        </w:rPr>
        <w:t>.</w:t>
      </w:r>
    </w:p>
    <w:p w:rsidR="009214D2" w:rsidRPr="002D3554" w:rsidRDefault="009214D2" w:rsidP="009214D2">
      <w:pPr>
        <w:autoSpaceDE w:val="0"/>
        <w:autoSpaceDN w:val="0"/>
        <w:adjustRightInd w:val="0"/>
        <w:spacing w:after="0" w:line="240" w:lineRule="auto"/>
        <w:rPr>
          <w:rFonts w:ascii="Arial" w:hAnsi="Arial" w:cs="Arial"/>
          <w:b/>
          <w:bCs/>
          <w:color w:val="FF0000"/>
          <w:sz w:val="20"/>
          <w:szCs w:val="20"/>
        </w:rPr>
      </w:pPr>
    </w:p>
    <w:p w:rsidR="009214D2" w:rsidRDefault="009214D2" w:rsidP="009214D2">
      <w:pPr>
        <w:autoSpaceDE w:val="0"/>
        <w:autoSpaceDN w:val="0"/>
        <w:adjustRightInd w:val="0"/>
        <w:spacing w:after="0" w:line="240" w:lineRule="auto"/>
        <w:rPr>
          <w:rFonts w:ascii="Times New Roman" w:hAnsi="Times New Roman" w:cs="Times New Roman"/>
          <w:b/>
          <w:bCs/>
          <w:sz w:val="24"/>
          <w:szCs w:val="24"/>
        </w:rPr>
      </w:pPr>
    </w:p>
    <w:p w:rsidR="009214D2" w:rsidRDefault="009214D2" w:rsidP="009214D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Elenco degli interventi programmati per spese investimento finanziati col ricorso al debito e con le risorse disponibili.</w:t>
      </w:r>
    </w:p>
    <w:p w:rsidR="009214D2" w:rsidRDefault="009214D2" w:rsidP="009214D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Nel bilancio di previsione 2016/2018</w:t>
      </w:r>
      <w:r w:rsidR="005F4AF0">
        <w:rPr>
          <w:rFonts w:ascii="Times New Roman" w:hAnsi="Times New Roman" w:cs="Times New Roman"/>
          <w:sz w:val="24"/>
          <w:szCs w:val="24"/>
        </w:rPr>
        <w:t xml:space="preserve"> </w:t>
      </w:r>
      <w:r>
        <w:rPr>
          <w:rFonts w:ascii="Times New Roman" w:hAnsi="Times New Roman" w:cs="Times New Roman"/>
          <w:sz w:val="24"/>
          <w:szCs w:val="24"/>
        </w:rPr>
        <w:t xml:space="preserve"> non sono state previste opere da finanziarsi con ricorso al debito.</w:t>
      </w:r>
    </w:p>
    <w:p w:rsidR="009214D2" w:rsidRDefault="009214D2" w:rsidP="009214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Le spese di investimento previste nel bilancio 2016/2018 sono:</w:t>
      </w:r>
    </w:p>
    <w:p w:rsidR="009214D2" w:rsidRDefault="009214D2" w:rsidP="009214D2">
      <w:pPr>
        <w:autoSpaceDE w:val="0"/>
        <w:autoSpaceDN w:val="0"/>
        <w:adjustRightInd w:val="0"/>
        <w:spacing w:after="0" w:line="240" w:lineRule="auto"/>
        <w:jc w:val="center"/>
        <w:rPr>
          <w:rFonts w:ascii="Times New Roman" w:hAnsi="Times New Roman" w:cs="Times New Roman"/>
          <w:sz w:val="24"/>
          <w:szCs w:val="24"/>
        </w:rPr>
      </w:pPr>
    </w:p>
    <w:tbl>
      <w:tblPr>
        <w:tblStyle w:val="Grigliatabella"/>
        <w:tblW w:w="0" w:type="auto"/>
        <w:tblLayout w:type="fixed"/>
        <w:tblLook w:val="04A0"/>
      </w:tblPr>
      <w:tblGrid>
        <w:gridCol w:w="675"/>
        <w:gridCol w:w="709"/>
        <w:gridCol w:w="552"/>
        <w:gridCol w:w="3984"/>
        <w:gridCol w:w="1418"/>
        <w:gridCol w:w="1275"/>
        <w:gridCol w:w="1241"/>
      </w:tblGrid>
      <w:tr w:rsidR="009214D2" w:rsidTr="009214D2">
        <w:tc>
          <w:tcPr>
            <w:tcW w:w="675" w:type="dxa"/>
          </w:tcPr>
          <w:p w:rsidR="009214D2" w:rsidRPr="003632D6" w:rsidRDefault="009214D2" w:rsidP="009214D2">
            <w:pPr>
              <w:autoSpaceDE w:val="0"/>
              <w:autoSpaceDN w:val="0"/>
              <w:adjustRightInd w:val="0"/>
              <w:rPr>
                <w:rFonts w:ascii="Arial" w:hAnsi="Arial" w:cs="Arial"/>
                <w:b/>
                <w:bCs/>
                <w:sz w:val="16"/>
                <w:szCs w:val="16"/>
              </w:rPr>
            </w:pPr>
            <w:r w:rsidRPr="003632D6">
              <w:rPr>
                <w:rFonts w:ascii="Arial" w:hAnsi="Arial" w:cs="Arial"/>
                <w:b/>
                <w:bCs/>
                <w:sz w:val="16"/>
                <w:szCs w:val="16"/>
              </w:rPr>
              <w:t>MISS</w:t>
            </w:r>
          </w:p>
        </w:tc>
        <w:tc>
          <w:tcPr>
            <w:tcW w:w="709" w:type="dxa"/>
          </w:tcPr>
          <w:p w:rsidR="009214D2" w:rsidRPr="003632D6" w:rsidRDefault="009214D2" w:rsidP="009214D2">
            <w:pPr>
              <w:autoSpaceDE w:val="0"/>
              <w:autoSpaceDN w:val="0"/>
              <w:adjustRightInd w:val="0"/>
              <w:rPr>
                <w:rFonts w:ascii="Arial" w:hAnsi="Arial" w:cs="Arial"/>
                <w:b/>
                <w:bCs/>
                <w:sz w:val="16"/>
                <w:szCs w:val="16"/>
              </w:rPr>
            </w:pPr>
            <w:r w:rsidRPr="003632D6">
              <w:rPr>
                <w:rFonts w:ascii="Arial" w:hAnsi="Arial" w:cs="Arial"/>
                <w:b/>
                <w:bCs/>
                <w:sz w:val="16"/>
                <w:szCs w:val="16"/>
              </w:rPr>
              <w:t xml:space="preserve">PROG </w:t>
            </w:r>
            <w:r>
              <w:rPr>
                <w:rFonts w:ascii="Arial" w:hAnsi="Arial" w:cs="Arial"/>
                <w:b/>
                <w:bCs/>
                <w:sz w:val="16"/>
                <w:szCs w:val="16"/>
              </w:rPr>
              <w:t xml:space="preserve"> </w:t>
            </w:r>
          </w:p>
        </w:tc>
        <w:tc>
          <w:tcPr>
            <w:tcW w:w="552" w:type="dxa"/>
          </w:tcPr>
          <w:p w:rsidR="009214D2" w:rsidRPr="003632D6" w:rsidRDefault="009214D2" w:rsidP="00582BBA">
            <w:pPr>
              <w:autoSpaceDE w:val="0"/>
              <w:autoSpaceDN w:val="0"/>
              <w:adjustRightInd w:val="0"/>
              <w:rPr>
                <w:rFonts w:ascii="Arial" w:hAnsi="Arial" w:cs="Arial"/>
                <w:b/>
                <w:bCs/>
                <w:sz w:val="16"/>
                <w:szCs w:val="16"/>
              </w:rPr>
            </w:pPr>
            <w:r w:rsidRPr="003632D6">
              <w:rPr>
                <w:rFonts w:ascii="Arial" w:hAnsi="Arial" w:cs="Arial"/>
                <w:b/>
                <w:bCs/>
                <w:sz w:val="16"/>
                <w:szCs w:val="16"/>
              </w:rPr>
              <w:t>TIT.</w:t>
            </w:r>
          </w:p>
        </w:tc>
        <w:tc>
          <w:tcPr>
            <w:tcW w:w="3984" w:type="dxa"/>
          </w:tcPr>
          <w:p w:rsidR="009214D2" w:rsidRPr="003632D6" w:rsidRDefault="009214D2" w:rsidP="00582BBA">
            <w:pPr>
              <w:autoSpaceDE w:val="0"/>
              <w:autoSpaceDN w:val="0"/>
              <w:adjustRightInd w:val="0"/>
              <w:rPr>
                <w:rFonts w:ascii="Arial" w:hAnsi="Arial" w:cs="Arial"/>
                <w:b/>
                <w:bCs/>
                <w:sz w:val="16"/>
                <w:szCs w:val="16"/>
              </w:rPr>
            </w:pPr>
            <w:r w:rsidRPr="003632D6">
              <w:rPr>
                <w:rFonts w:ascii="Arial" w:hAnsi="Arial" w:cs="Arial"/>
                <w:b/>
                <w:bCs/>
                <w:sz w:val="16"/>
                <w:szCs w:val="16"/>
              </w:rPr>
              <w:t>AGGR. DESCRIZIONE</w:t>
            </w:r>
          </w:p>
        </w:tc>
        <w:tc>
          <w:tcPr>
            <w:tcW w:w="1418" w:type="dxa"/>
          </w:tcPr>
          <w:p w:rsidR="009214D2" w:rsidRDefault="009214D2" w:rsidP="009214D2">
            <w:r w:rsidRPr="003632D6">
              <w:rPr>
                <w:rFonts w:ascii="Arial" w:hAnsi="Arial" w:cs="Arial"/>
                <w:b/>
                <w:bCs/>
                <w:sz w:val="16"/>
                <w:szCs w:val="16"/>
              </w:rPr>
              <w:t>201</w:t>
            </w:r>
            <w:r>
              <w:rPr>
                <w:rFonts w:ascii="Arial" w:hAnsi="Arial" w:cs="Arial"/>
                <w:b/>
                <w:bCs/>
                <w:sz w:val="16"/>
                <w:szCs w:val="16"/>
              </w:rPr>
              <w:t>6</w:t>
            </w:r>
            <w:r w:rsidRPr="003632D6">
              <w:rPr>
                <w:rFonts w:ascii="Arial" w:hAnsi="Arial" w:cs="Arial"/>
                <w:b/>
                <w:bCs/>
                <w:sz w:val="16"/>
                <w:szCs w:val="16"/>
              </w:rPr>
              <w:t xml:space="preserve"> Previsione</w:t>
            </w:r>
          </w:p>
        </w:tc>
        <w:tc>
          <w:tcPr>
            <w:tcW w:w="1275" w:type="dxa"/>
          </w:tcPr>
          <w:p w:rsidR="009214D2" w:rsidRPr="003632D6" w:rsidRDefault="009214D2" w:rsidP="009214D2">
            <w:pPr>
              <w:autoSpaceDE w:val="0"/>
              <w:autoSpaceDN w:val="0"/>
              <w:adjustRightInd w:val="0"/>
              <w:jc w:val="center"/>
              <w:rPr>
                <w:rFonts w:ascii="Arial" w:hAnsi="Arial" w:cs="Arial"/>
                <w:b/>
                <w:bCs/>
                <w:sz w:val="16"/>
                <w:szCs w:val="16"/>
              </w:rPr>
            </w:pPr>
            <w:r w:rsidRPr="003632D6">
              <w:rPr>
                <w:rFonts w:ascii="Arial" w:hAnsi="Arial" w:cs="Arial"/>
                <w:b/>
                <w:bCs/>
                <w:sz w:val="16"/>
                <w:szCs w:val="16"/>
              </w:rPr>
              <w:t>201</w:t>
            </w:r>
            <w:r>
              <w:rPr>
                <w:rFonts w:ascii="Arial" w:hAnsi="Arial" w:cs="Arial"/>
                <w:b/>
                <w:bCs/>
                <w:sz w:val="16"/>
                <w:szCs w:val="16"/>
              </w:rPr>
              <w:t>7</w:t>
            </w:r>
            <w:r w:rsidRPr="003632D6">
              <w:rPr>
                <w:rFonts w:ascii="Arial" w:hAnsi="Arial" w:cs="Arial"/>
                <w:b/>
                <w:bCs/>
                <w:sz w:val="16"/>
                <w:szCs w:val="16"/>
              </w:rPr>
              <w:t xml:space="preserve"> Previsione</w:t>
            </w:r>
          </w:p>
        </w:tc>
        <w:tc>
          <w:tcPr>
            <w:tcW w:w="1241" w:type="dxa"/>
          </w:tcPr>
          <w:p w:rsidR="009214D2" w:rsidRDefault="009214D2" w:rsidP="009214D2">
            <w:pPr>
              <w:autoSpaceDE w:val="0"/>
              <w:autoSpaceDN w:val="0"/>
              <w:adjustRightInd w:val="0"/>
              <w:jc w:val="center"/>
              <w:rPr>
                <w:rFonts w:ascii="Times New Roman" w:hAnsi="Times New Roman" w:cs="Times New Roman"/>
                <w:sz w:val="96"/>
                <w:szCs w:val="96"/>
              </w:rPr>
            </w:pPr>
            <w:r>
              <w:rPr>
                <w:rFonts w:ascii="Arial" w:hAnsi="Arial" w:cs="Arial"/>
                <w:b/>
                <w:bCs/>
                <w:sz w:val="16"/>
                <w:szCs w:val="16"/>
              </w:rPr>
              <w:t>2018</w:t>
            </w:r>
            <w:r w:rsidRPr="003632D6">
              <w:rPr>
                <w:rFonts w:ascii="Arial" w:hAnsi="Arial" w:cs="Arial"/>
                <w:b/>
                <w:bCs/>
                <w:sz w:val="16"/>
                <w:szCs w:val="16"/>
              </w:rPr>
              <w:t xml:space="preserve"> Previsione</w:t>
            </w:r>
          </w:p>
        </w:tc>
      </w:tr>
      <w:tr w:rsidR="009214D2" w:rsidTr="009214D2">
        <w:tc>
          <w:tcPr>
            <w:tcW w:w="675"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709"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552"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3984" w:type="dxa"/>
          </w:tcPr>
          <w:p w:rsidR="009214D2" w:rsidRPr="00696F44" w:rsidRDefault="009214D2" w:rsidP="009214D2">
            <w:pPr>
              <w:autoSpaceDE w:val="0"/>
              <w:autoSpaceDN w:val="0"/>
              <w:adjustRightInd w:val="0"/>
              <w:jc w:val="center"/>
              <w:rPr>
                <w:rFonts w:ascii="Times New Roman" w:hAnsi="Times New Roman" w:cs="Times New Roman"/>
                <w:sz w:val="24"/>
                <w:szCs w:val="24"/>
              </w:rPr>
            </w:pPr>
            <w:r w:rsidRPr="00696F44">
              <w:rPr>
                <w:rFonts w:ascii="Times New Roman" w:hAnsi="Times New Roman" w:cs="Times New Roman"/>
                <w:sz w:val="24"/>
                <w:szCs w:val="24"/>
              </w:rPr>
              <w:t xml:space="preserve">Trasf. Ras riqualificazione urbana </w:t>
            </w:r>
          </w:p>
          <w:p w:rsidR="009214D2" w:rsidRPr="00696F44" w:rsidRDefault="009214D2" w:rsidP="009214D2">
            <w:pPr>
              <w:autoSpaceDE w:val="0"/>
              <w:autoSpaceDN w:val="0"/>
              <w:adjustRightInd w:val="0"/>
              <w:jc w:val="center"/>
              <w:rPr>
                <w:rFonts w:ascii="Times New Roman" w:hAnsi="Times New Roman" w:cs="Times New Roman"/>
                <w:sz w:val="24"/>
                <w:szCs w:val="24"/>
              </w:rPr>
            </w:pPr>
            <w:r w:rsidRPr="00696F44">
              <w:rPr>
                <w:rFonts w:ascii="Times New Roman" w:hAnsi="Times New Roman" w:cs="Times New Roman"/>
                <w:sz w:val="24"/>
                <w:szCs w:val="24"/>
              </w:rPr>
              <w:t>20810137</w:t>
            </w:r>
          </w:p>
        </w:tc>
        <w:tc>
          <w:tcPr>
            <w:tcW w:w="1418" w:type="dxa"/>
          </w:tcPr>
          <w:p w:rsidR="009214D2" w:rsidRPr="00696F44" w:rsidRDefault="00696F44" w:rsidP="009214D2">
            <w:pPr>
              <w:autoSpaceDE w:val="0"/>
              <w:autoSpaceDN w:val="0"/>
              <w:adjustRightInd w:val="0"/>
              <w:jc w:val="center"/>
              <w:rPr>
                <w:rFonts w:ascii="Times New Roman" w:hAnsi="Times New Roman" w:cs="Times New Roman"/>
                <w:sz w:val="24"/>
                <w:szCs w:val="24"/>
              </w:rPr>
            </w:pPr>
            <w:r w:rsidRPr="00696F44">
              <w:rPr>
                <w:rFonts w:ascii="Times New Roman" w:hAnsi="Times New Roman" w:cs="Times New Roman"/>
                <w:sz w:val="24"/>
                <w:szCs w:val="24"/>
              </w:rPr>
              <w:t>€ 40.000,00</w:t>
            </w:r>
          </w:p>
        </w:tc>
        <w:tc>
          <w:tcPr>
            <w:tcW w:w="1275"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1241"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r>
      <w:tr w:rsidR="009214D2" w:rsidTr="009214D2">
        <w:tc>
          <w:tcPr>
            <w:tcW w:w="675"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709"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552"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3984" w:type="dxa"/>
          </w:tcPr>
          <w:p w:rsidR="009214D2" w:rsidRPr="00696F44" w:rsidRDefault="00696F44"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Ristrutturazione interna edificio comunale</w:t>
            </w:r>
          </w:p>
        </w:tc>
        <w:tc>
          <w:tcPr>
            <w:tcW w:w="1418" w:type="dxa"/>
          </w:tcPr>
          <w:p w:rsidR="009214D2" w:rsidRPr="00696F44" w:rsidRDefault="00696F44" w:rsidP="009214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€85.000,00</w:t>
            </w:r>
          </w:p>
        </w:tc>
        <w:tc>
          <w:tcPr>
            <w:tcW w:w="1275"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1241"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r>
      <w:tr w:rsidR="009214D2" w:rsidTr="009214D2">
        <w:tc>
          <w:tcPr>
            <w:tcW w:w="675"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709"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552"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3984"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1418"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1275"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1241"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r>
      <w:tr w:rsidR="009214D2" w:rsidTr="009214D2">
        <w:tc>
          <w:tcPr>
            <w:tcW w:w="675"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709"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552"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3984"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1418"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1275"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c>
          <w:tcPr>
            <w:tcW w:w="1241" w:type="dxa"/>
          </w:tcPr>
          <w:p w:rsidR="009214D2" w:rsidRPr="00696F44" w:rsidRDefault="009214D2" w:rsidP="009214D2">
            <w:pPr>
              <w:autoSpaceDE w:val="0"/>
              <w:autoSpaceDN w:val="0"/>
              <w:adjustRightInd w:val="0"/>
              <w:jc w:val="center"/>
              <w:rPr>
                <w:rFonts w:ascii="Times New Roman" w:hAnsi="Times New Roman" w:cs="Times New Roman"/>
                <w:sz w:val="24"/>
                <w:szCs w:val="24"/>
              </w:rPr>
            </w:pPr>
          </w:p>
        </w:tc>
      </w:tr>
    </w:tbl>
    <w:p w:rsidR="009214D2" w:rsidRPr="00696F44" w:rsidRDefault="009214D2" w:rsidP="009214D2">
      <w:pPr>
        <w:autoSpaceDE w:val="0"/>
        <w:autoSpaceDN w:val="0"/>
        <w:adjustRightInd w:val="0"/>
        <w:spacing w:after="0" w:line="240" w:lineRule="auto"/>
        <w:jc w:val="center"/>
        <w:rPr>
          <w:rFonts w:ascii="Times New Roman" w:hAnsi="Times New Roman" w:cs="Times New Roman"/>
          <w:sz w:val="24"/>
          <w:szCs w:val="24"/>
        </w:rPr>
      </w:pPr>
    </w:p>
    <w:p w:rsidR="00696F44" w:rsidRPr="00696F44" w:rsidRDefault="00696F44" w:rsidP="006549D8">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Oltre a queste opere nel bilancio 2016/2018, annualità 2016, </w:t>
      </w:r>
      <w:r w:rsidR="005F4AF0">
        <w:rPr>
          <w:rFonts w:ascii="Times New Roman" w:hAnsi="Times New Roman" w:cs="Times New Roman"/>
          <w:sz w:val="24"/>
          <w:szCs w:val="24"/>
        </w:rPr>
        <w:t xml:space="preserve"> saranno inserite </w:t>
      </w:r>
      <w:r>
        <w:rPr>
          <w:rFonts w:ascii="Times New Roman" w:hAnsi="Times New Roman" w:cs="Times New Roman"/>
          <w:sz w:val="24"/>
          <w:szCs w:val="24"/>
        </w:rPr>
        <w:t xml:space="preserve"> le opere già previste e finanziate nel bilancio 2015, ma esigibili nelle annualità successive. </w:t>
      </w:r>
    </w:p>
    <w:p w:rsidR="00696F44" w:rsidRDefault="00696F44" w:rsidP="00696F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opere provenienti dall’annualità 2015 </w:t>
      </w:r>
      <w:r w:rsidR="006549D8">
        <w:rPr>
          <w:rFonts w:ascii="Times New Roman" w:hAnsi="Times New Roman" w:cs="Times New Roman"/>
          <w:sz w:val="24"/>
          <w:szCs w:val="24"/>
        </w:rPr>
        <w:t xml:space="preserve">saranno </w:t>
      </w:r>
      <w:r>
        <w:rPr>
          <w:rFonts w:ascii="Times New Roman" w:hAnsi="Times New Roman" w:cs="Times New Roman"/>
          <w:sz w:val="24"/>
          <w:szCs w:val="24"/>
        </w:rPr>
        <w:t xml:space="preserve"> tutte finanziate in entrata dal Fondo pluriennale vincolato.</w:t>
      </w:r>
    </w:p>
    <w:p w:rsidR="00696F44" w:rsidRDefault="00696F44" w:rsidP="00696F44">
      <w:pPr>
        <w:autoSpaceDE w:val="0"/>
        <w:autoSpaceDN w:val="0"/>
        <w:adjustRightInd w:val="0"/>
        <w:spacing w:after="0" w:line="240" w:lineRule="auto"/>
        <w:jc w:val="both"/>
        <w:rPr>
          <w:rFonts w:ascii="Times New Roman" w:hAnsi="Times New Roman" w:cs="Times New Roman"/>
          <w:sz w:val="24"/>
          <w:szCs w:val="24"/>
          <w:highlight w:val="yellow"/>
        </w:rPr>
      </w:pPr>
      <w:r w:rsidRPr="00696F44">
        <w:rPr>
          <w:rFonts w:ascii="Times New Roman" w:hAnsi="Times New Roman" w:cs="Times New Roman"/>
          <w:sz w:val="24"/>
          <w:szCs w:val="24"/>
          <w:highlight w:val="yellow"/>
        </w:rPr>
        <w:t xml:space="preserve">Viceversa per le </w:t>
      </w:r>
      <w:r w:rsidR="006549D8">
        <w:rPr>
          <w:rFonts w:ascii="Times New Roman" w:hAnsi="Times New Roman" w:cs="Times New Roman"/>
          <w:sz w:val="24"/>
          <w:szCs w:val="24"/>
          <w:highlight w:val="yellow"/>
        </w:rPr>
        <w:t xml:space="preserve"> </w:t>
      </w:r>
      <w:r w:rsidRPr="00696F44">
        <w:rPr>
          <w:rFonts w:ascii="Times New Roman" w:hAnsi="Times New Roman" w:cs="Times New Roman"/>
          <w:sz w:val="24"/>
          <w:szCs w:val="24"/>
          <w:highlight w:val="yellow"/>
        </w:rPr>
        <w:t xml:space="preserve"> opere e </w:t>
      </w:r>
      <w:r w:rsidR="006549D8">
        <w:rPr>
          <w:rFonts w:ascii="Times New Roman" w:hAnsi="Times New Roman" w:cs="Times New Roman"/>
          <w:sz w:val="24"/>
          <w:szCs w:val="24"/>
          <w:highlight w:val="yellow"/>
        </w:rPr>
        <w:t xml:space="preserve"> </w:t>
      </w:r>
      <w:r w:rsidRPr="00696F44">
        <w:rPr>
          <w:rFonts w:ascii="Times New Roman" w:hAnsi="Times New Roman" w:cs="Times New Roman"/>
          <w:sz w:val="24"/>
          <w:szCs w:val="24"/>
          <w:highlight w:val="yellow"/>
        </w:rPr>
        <w:t xml:space="preserve"> spese d’investimento (acquisto beni durevoli, informatizzazione, restituzione oneri, trasferimenti ecc.) sono state previste tutte come scadenti nell’anno riservandosi eventualmente di spostare parte della spesa a fondo pluriennale vincolato in sede di variazione o assestamento al bilancio o di chiusura d’esercizio.</w:t>
      </w:r>
    </w:p>
    <w:p w:rsidR="006549D8" w:rsidRPr="00696F44" w:rsidRDefault="006549D8" w:rsidP="00696F44">
      <w:pPr>
        <w:autoSpaceDE w:val="0"/>
        <w:autoSpaceDN w:val="0"/>
        <w:adjustRightInd w:val="0"/>
        <w:spacing w:after="0" w:line="240" w:lineRule="auto"/>
        <w:jc w:val="both"/>
        <w:rPr>
          <w:rFonts w:ascii="Times New Roman" w:hAnsi="Times New Roman" w:cs="Times New Roman"/>
          <w:sz w:val="24"/>
          <w:szCs w:val="24"/>
          <w:highlight w:val="yellow"/>
        </w:rPr>
      </w:pPr>
    </w:p>
    <w:p w:rsidR="00696F44" w:rsidRDefault="00696F44" w:rsidP="00696F44">
      <w:pPr>
        <w:autoSpaceDE w:val="0"/>
        <w:autoSpaceDN w:val="0"/>
        <w:adjustRightInd w:val="0"/>
        <w:spacing w:after="0" w:line="240" w:lineRule="auto"/>
        <w:rPr>
          <w:rFonts w:ascii="Times New Roman" w:hAnsi="Times New Roman" w:cs="Times New Roman"/>
          <w:sz w:val="24"/>
          <w:szCs w:val="24"/>
        </w:rPr>
      </w:pPr>
    </w:p>
    <w:p w:rsidR="00D47258" w:rsidRDefault="00D47258" w:rsidP="00696F44">
      <w:pPr>
        <w:autoSpaceDE w:val="0"/>
        <w:autoSpaceDN w:val="0"/>
        <w:adjustRightInd w:val="0"/>
        <w:spacing w:after="0" w:line="240" w:lineRule="auto"/>
        <w:rPr>
          <w:rFonts w:ascii="Times New Roman" w:hAnsi="Times New Roman" w:cs="Times New Roman"/>
          <w:sz w:val="24"/>
          <w:szCs w:val="24"/>
        </w:rPr>
      </w:pPr>
    </w:p>
    <w:p w:rsidR="00D47258" w:rsidRDefault="00D47258" w:rsidP="00696F44">
      <w:pPr>
        <w:autoSpaceDE w:val="0"/>
        <w:autoSpaceDN w:val="0"/>
        <w:adjustRightInd w:val="0"/>
        <w:spacing w:after="0" w:line="240" w:lineRule="auto"/>
        <w:rPr>
          <w:rFonts w:ascii="Times New Roman" w:hAnsi="Times New Roman" w:cs="Times New Roman"/>
          <w:sz w:val="24"/>
          <w:szCs w:val="24"/>
        </w:rPr>
      </w:pPr>
    </w:p>
    <w:p w:rsidR="00D47258" w:rsidRDefault="00D47258" w:rsidP="00D47258">
      <w:pPr>
        <w:autoSpaceDE w:val="0"/>
        <w:autoSpaceDN w:val="0"/>
        <w:adjustRightInd w:val="0"/>
        <w:ind w:right="-2"/>
        <w:contextualSpacing/>
        <w:jc w:val="both"/>
        <w:rPr>
          <w:rFonts w:ascii="Arial" w:hAnsi="Arial" w:cs="Arial"/>
          <w:sz w:val="20"/>
          <w:szCs w:val="20"/>
        </w:rPr>
      </w:pPr>
      <w:r w:rsidRPr="003B5FE4">
        <w:rPr>
          <w:rFonts w:ascii="Arial" w:eastAsia="Times New Roman" w:hAnsi="Arial" w:cs="Arial"/>
          <w:b/>
          <w:sz w:val="20"/>
          <w:szCs w:val="20"/>
        </w:rPr>
        <w:t>4. Eventuali cause che hanno reso impossibile individuare il cronoprogramma di spesa degli investimenti</w:t>
      </w:r>
      <w:r>
        <w:rPr>
          <w:rFonts w:ascii="Arial" w:hAnsi="Arial" w:cs="Arial"/>
          <w:b/>
          <w:sz w:val="20"/>
          <w:szCs w:val="20"/>
        </w:rPr>
        <w:t xml:space="preserve">: </w:t>
      </w:r>
      <w:r w:rsidRPr="00D47258">
        <w:rPr>
          <w:rFonts w:ascii="Arial" w:hAnsi="Arial" w:cs="Arial"/>
          <w:sz w:val="20"/>
          <w:szCs w:val="20"/>
        </w:rPr>
        <w:t>per quanto concerne le spese di investimento si prevede di realizzare tutte entro l’anno 2016.</w:t>
      </w:r>
    </w:p>
    <w:p w:rsidR="00D47258" w:rsidRPr="00D47258" w:rsidRDefault="00D47258" w:rsidP="00D47258">
      <w:pPr>
        <w:autoSpaceDE w:val="0"/>
        <w:autoSpaceDN w:val="0"/>
        <w:adjustRightInd w:val="0"/>
        <w:ind w:right="-2"/>
        <w:contextualSpacing/>
        <w:jc w:val="both"/>
        <w:rPr>
          <w:rFonts w:ascii="Arial" w:eastAsia="Times New Roman" w:hAnsi="Arial" w:cs="Arial"/>
          <w:sz w:val="20"/>
          <w:szCs w:val="20"/>
        </w:rPr>
      </w:pPr>
    </w:p>
    <w:p w:rsidR="00D47258" w:rsidRDefault="00D47258" w:rsidP="00D47258">
      <w:pPr>
        <w:autoSpaceDE w:val="0"/>
        <w:autoSpaceDN w:val="0"/>
        <w:adjustRightInd w:val="0"/>
        <w:ind w:right="-2"/>
        <w:contextualSpacing/>
        <w:jc w:val="both"/>
        <w:rPr>
          <w:rFonts w:ascii="Arial" w:hAnsi="Arial" w:cs="Arial"/>
          <w:sz w:val="20"/>
          <w:szCs w:val="20"/>
        </w:rPr>
      </w:pPr>
      <w:r>
        <w:rPr>
          <w:rFonts w:ascii="Arial" w:hAnsi="Arial" w:cs="Arial"/>
          <w:b/>
          <w:sz w:val="20"/>
          <w:szCs w:val="20"/>
        </w:rPr>
        <w:lastRenderedPageBreak/>
        <w:t>5.</w:t>
      </w:r>
      <w:r w:rsidRPr="003B5FE4">
        <w:rPr>
          <w:rFonts w:ascii="Arial" w:eastAsia="Times New Roman" w:hAnsi="Arial" w:cs="Arial"/>
          <w:b/>
          <w:sz w:val="20"/>
          <w:szCs w:val="20"/>
        </w:rPr>
        <w:t xml:space="preserve"> Elenco delle garanzie principali o sussidiarie prestate dall’ente  a favore di enti e di altri soggetti ai sensi delle leggi vigenti.</w:t>
      </w:r>
      <w:r w:rsidR="006549D8">
        <w:rPr>
          <w:rFonts w:ascii="Arial" w:eastAsia="Times New Roman" w:hAnsi="Arial" w:cs="Arial"/>
          <w:b/>
          <w:sz w:val="20"/>
          <w:szCs w:val="20"/>
        </w:rPr>
        <w:t xml:space="preserve"> </w:t>
      </w:r>
      <w:r w:rsidRPr="003B5FE4">
        <w:rPr>
          <w:rFonts w:ascii="Arial" w:eastAsia="Times New Roman" w:hAnsi="Arial" w:cs="Arial"/>
          <w:sz w:val="20"/>
          <w:szCs w:val="20"/>
        </w:rPr>
        <w:t>Non risultano garanzie principali o sussidiarie prestate dall’ente a favore di enti o di altri soggetti, pubblici o privati.</w:t>
      </w:r>
    </w:p>
    <w:p w:rsidR="00D47258" w:rsidRDefault="00D47258" w:rsidP="00D47258">
      <w:pPr>
        <w:autoSpaceDE w:val="0"/>
        <w:autoSpaceDN w:val="0"/>
        <w:adjustRightInd w:val="0"/>
        <w:ind w:right="-2"/>
        <w:contextualSpacing/>
        <w:jc w:val="both"/>
        <w:rPr>
          <w:rFonts w:ascii="Arial" w:hAnsi="Arial" w:cs="Arial"/>
          <w:sz w:val="20"/>
          <w:szCs w:val="20"/>
        </w:rPr>
      </w:pPr>
    </w:p>
    <w:p w:rsidR="00D47258" w:rsidRDefault="00D47258" w:rsidP="00D47258">
      <w:pPr>
        <w:autoSpaceDE w:val="0"/>
        <w:autoSpaceDN w:val="0"/>
        <w:adjustRightInd w:val="0"/>
        <w:ind w:right="-2"/>
        <w:contextualSpacing/>
        <w:jc w:val="both"/>
        <w:rPr>
          <w:rFonts w:ascii="Arial" w:hAnsi="Arial" w:cs="Arial"/>
          <w:sz w:val="20"/>
          <w:szCs w:val="20"/>
        </w:rPr>
      </w:pPr>
      <w:r w:rsidRPr="003B5FE4">
        <w:rPr>
          <w:rFonts w:ascii="Arial" w:eastAsia="Times New Roman" w:hAnsi="Arial" w:cs="Arial"/>
          <w:b/>
          <w:sz w:val="20"/>
          <w:szCs w:val="20"/>
        </w:rPr>
        <w:t>6. Gli oneri e gli impegni finanziari stimati e stanziati in bilancio, derivanti da contratti relativi a strumenti finanziari derivati o da contratti di finanziamento che includono una componente derivata</w:t>
      </w:r>
      <w:r>
        <w:rPr>
          <w:rFonts w:ascii="Arial" w:hAnsi="Arial" w:cs="Arial"/>
          <w:b/>
          <w:sz w:val="20"/>
          <w:szCs w:val="20"/>
        </w:rPr>
        <w:t xml:space="preserve">: </w:t>
      </w:r>
      <w:r w:rsidRPr="003B5FE4">
        <w:rPr>
          <w:rFonts w:ascii="Arial" w:eastAsia="Times New Roman" w:hAnsi="Arial" w:cs="Arial"/>
          <w:sz w:val="20"/>
          <w:szCs w:val="20"/>
        </w:rPr>
        <w:t>Non sono stati attivati contratti relativi a strumenti di finanza derivata</w:t>
      </w:r>
      <w:r>
        <w:rPr>
          <w:rFonts w:ascii="Arial" w:hAnsi="Arial" w:cs="Arial"/>
          <w:sz w:val="20"/>
          <w:szCs w:val="20"/>
        </w:rPr>
        <w:t>.</w:t>
      </w:r>
    </w:p>
    <w:p w:rsidR="00D47258" w:rsidRPr="00A662CF" w:rsidRDefault="00D47258" w:rsidP="00D47258">
      <w:pPr>
        <w:pStyle w:val="Testonotaapidipagina"/>
        <w:spacing w:after="0"/>
        <w:ind w:left="0"/>
        <w:rPr>
          <w:rFonts w:ascii="Arial" w:hAnsi="Arial" w:cs="Arial"/>
          <w:sz w:val="18"/>
          <w:szCs w:val="18"/>
        </w:rPr>
      </w:pPr>
      <w:r>
        <w:rPr>
          <w:rFonts w:ascii="Arial" w:hAnsi="Arial" w:cs="Arial"/>
          <w:b/>
        </w:rPr>
        <w:t>7</w:t>
      </w:r>
      <w:r w:rsidRPr="005E02C2">
        <w:rPr>
          <w:rFonts w:ascii="Arial" w:hAnsi="Arial" w:cs="Arial"/>
          <w:b/>
          <w:szCs w:val="22"/>
        </w:rPr>
        <w:t>. Elenco dei propri enti ed organismi strumentali</w:t>
      </w:r>
      <w:r>
        <w:rPr>
          <w:rFonts w:ascii="Arial" w:hAnsi="Arial" w:cs="Arial"/>
          <w:b/>
        </w:rPr>
        <w:t>:(</w:t>
      </w:r>
      <w:r w:rsidRPr="00D47258">
        <w:rPr>
          <w:rStyle w:val="Rimandonotaapidipagina"/>
          <w:rFonts w:ascii="Arial" w:hAnsi="Arial" w:cs="Arial"/>
          <w:sz w:val="18"/>
          <w:szCs w:val="18"/>
        </w:rPr>
        <w:t xml:space="preserve"> </w:t>
      </w:r>
      <w:r w:rsidRPr="00A662CF">
        <w:rPr>
          <w:rFonts w:ascii="Arial" w:hAnsi="Arial" w:cs="Arial"/>
          <w:sz w:val="18"/>
          <w:szCs w:val="18"/>
        </w:rPr>
        <w:t>L’articolo 9, comma 7, del DPCM 28 dicembre 2011 definisce “</w:t>
      </w:r>
      <w:r w:rsidRPr="00A662CF">
        <w:rPr>
          <w:rFonts w:ascii="Arial" w:hAnsi="Arial" w:cs="Arial"/>
          <w:i/>
          <w:sz w:val="18"/>
          <w:szCs w:val="18"/>
        </w:rPr>
        <w:t>organismi strumentali delle regioni e degli enti locali, le loro articolazioni organizzative, anche a livello territoriale, dotate di autonomia gestionale e contabile, prive di personalità giuridica</w:t>
      </w:r>
      <w:r w:rsidRPr="00A662CF">
        <w:rPr>
          <w:rFonts w:ascii="Arial" w:hAnsi="Arial" w:cs="Arial"/>
          <w:sz w:val="18"/>
          <w:szCs w:val="18"/>
        </w:rPr>
        <w:t>”.</w:t>
      </w:r>
    </w:p>
    <w:p w:rsidR="00D47258" w:rsidRPr="00A662CF" w:rsidRDefault="00D47258" w:rsidP="00D47258">
      <w:pPr>
        <w:pStyle w:val="NormaleWeb"/>
        <w:spacing w:before="0" w:beforeAutospacing="0" w:after="0" w:afterAutospacing="0"/>
        <w:jc w:val="both"/>
        <w:rPr>
          <w:rFonts w:ascii="Arial" w:hAnsi="Arial" w:cs="Arial"/>
          <w:i/>
          <w:sz w:val="18"/>
          <w:szCs w:val="18"/>
        </w:rPr>
      </w:pPr>
      <w:r w:rsidRPr="00A662CF">
        <w:rPr>
          <w:rFonts w:ascii="Arial" w:hAnsi="Arial" w:cs="Arial"/>
          <w:sz w:val="18"/>
          <w:szCs w:val="18"/>
        </w:rPr>
        <w:t xml:space="preserve">L’articolo 21  del DPCM 28 dicembre 2011 definisce </w:t>
      </w:r>
      <w:r w:rsidRPr="00A662CF">
        <w:rPr>
          <w:rFonts w:ascii="Arial" w:hAnsi="Arial" w:cs="Arial"/>
          <w:b/>
          <w:sz w:val="18"/>
          <w:szCs w:val="18"/>
        </w:rPr>
        <w:t>ente strumentale</w:t>
      </w:r>
      <w:r w:rsidRPr="00A662CF">
        <w:rPr>
          <w:rFonts w:ascii="Arial" w:hAnsi="Arial" w:cs="Arial"/>
          <w:sz w:val="18"/>
          <w:szCs w:val="18"/>
        </w:rPr>
        <w:t xml:space="preserve"> “</w:t>
      </w:r>
      <w:r w:rsidRPr="00A662CF">
        <w:rPr>
          <w:rFonts w:ascii="Arial" w:hAnsi="Arial" w:cs="Arial"/>
          <w:i/>
          <w:sz w:val="18"/>
          <w:szCs w:val="18"/>
        </w:rPr>
        <w:t xml:space="preserve">l’azienda o l’ente, pubblico o privato, nel quale la regione o l’ente locale: </w:t>
      </w:r>
    </w:p>
    <w:p w:rsidR="00D47258" w:rsidRDefault="00D47258" w:rsidP="00D47258">
      <w:pPr>
        <w:pStyle w:val="NormaleWeb"/>
        <w:numPr>
          <w:ilvl w:val="0"/>
          <w:numId w:val="2"/>
        </w:numPr>
        <w:spacing w:before="0" w:beforeAutospacing="0" w:after="0" w:afterAutospacing="0"/>
        <w:jc w:val="both"/>
        <w:rPr>
          <w:rFonts w:ascii="Arial" w:hAnsi="Arial" w:cs="Arial"/>
          <w:i/>
          <w:sz w:val="18"/>
          <w:szCs w:val="18"/>
        </w:rPr>
      </w:pPr>
      <w:r w:rsidRPr="00A662CF">
        <w:rPr>
          <w:rFonts w:ascii="Arial" w:hAnsi="Arial" w:cs="Arial"/>
          <w:i/>
          <w:sz w:val="18"/>
          <w:szCs w:val="18"/>
        </w:rPr>
        <w:t xml:space="preserve">ha il possesso, diretto o indiretto, della maggioranza dei voti esercitabili nell’ente o nell’azienda; </w:t>
      </w:r>
      <w:r>
        <w:rPr>
          <w:rFonts w:ascii="Arial" w:hAnsi="Arial" w:cs="Arial"/>
          <w:i/>
          <w:sz w:val="18"/>
          <w:szCs w:val="18"/>
        </w:rPr>
        <w:t>)</w:t>
      </w:r>
    </w:p>
    <w:p w:rsidR="00D47258" w:rsidRPr="00A662CF" w:rsidRDefault="00D47258" w:rsidP="00D47258">
      <w:pPr>
        <w:pStyle w:val="NormaleWeb"/>
        <w:spacing w:before="0" w:beforeAutospacing="0" w:after="0" w:afterAutospacing="0"/>
        <w:jc w:val="both"/>
        <w:rPr>
          <w:rFonts w:ascii="Arial" w:hAnsi="Arial" w:cs="Arial"/>
          <w:i/>
          <w:sz w:val="18"/>
          <w:szCs w:val="18"/>
        </w:rPr>
      </w:pPr>
      <w:r w:rsidRPr="00D47258">
        <w:rPr>
          <w:rFonts w:ascii="Arial" w:hAnsi="Arial" w:cs="Arial"/>
          <w:i/>
          <w:sz w:val="18"/>
          <w:szCs w:val="18"/>
          <w:highlight w:val="yellow"/>
        </w:rPr>
        <w:t>Non ricorre la fattispecie.</w:t>
      </w:r>
    </w:p>
    <w:p w:rsidR="00D47258" w:rsidRDefault="00D47258" w:rsidP="00D47258">
      <w:pPr>
        <w:pStyle w:val="Testonotaapidipagina"/>
        <w:spacing w:after="0"/>
        <w:ind w:left="0"/>
        <w:rPr>
          <w:rFonts w:ascii="Arial" w:hAnsi="Arial" w:cs="Arial"/>
          <w:sz w:val="18"/>
          <w:szCs w:val="18"/>
        </w:rPr>
      </w:pPr>
      <w:r>
        <w:rPr>
          <w:rFonts w:ascii="Arial" w:hAnsi="Arial" w:cs="Arial"/>
          <w:b/>
        </w:rPr>
        <w:t xml:space="preserve"> Enti Strumentali partecipati: (</w:t>
      </w:r>
      <w:r w:rsidRPr="00A662CF">
        <w:rPr>
          <w:rFonts w:ascii="Arial" w:hAnsi="Arial" w:cs="Arial"/>
          <w:sz w:val="18"/>
          <w:szCs w:val="18"/>
        </w:rPr>
        <w:t xml:space="preserve"> Secon</w:t>
      </w:r>
      <w:r>
        <w:rPr>
          <w:rFonts w:ascii="Arial" w:hAnsi="Arial" w:cs="Arial"/>
          <w:sz w:val="18"/>
          <w:szCs w:val="18"/>
        </w:rPr>
        <w:t>d</w:t>
      </w:r>
      <w:r w:rsidRPr="00A662CF">
        <w:rPr>
          <w:rFonts w:ascii="Arial" w:hAnsi="Arial" w:cs="Arial"/>
          <w:sz w:val="18"/>
          <w:szCs w:val="18"/>
        </w:rPr>
        <w:t xml:space="preserve">o il principio gli </w:t>
      </w:r>
      <w:r w:rsidRPr="00A662CF">
        <w:rPr>
          <w:rFonts w:ascii="Arial" w:hAnsi="Arial" w:cs="Arial"/>
          <w:b/>
          <w:sz w:val="18"/>
          <w:szCs w:val="18"/>
        </w:rPr>
        <w:t>enti strumentali partecipati</w:t>
      </w:r>
      <w:r w:rsidRPr="00A662CF">
        <w:rPr>
          <w:rFonts w:ascii="Arial" w:hAnsi="Arial" w:cs="Arial"/>
          <w:sz w:val="18"/>
          <w:szCs w:val="18"/>
        </w:rPr>
        <w:t xml:space="preserve"> sono gli enti pubblici e privati e le aziende nei cui confronti l’amministrazione pubblica ha una partecipazione in assenza delle condizioni di controllo</w:t>
      </w:r>
      <w:r>
        <w:rPr>
          <w:rFonts w:ascii="Arial" w:hAnsi="Arial" w:cs="Arial"/>
          <w:sz w:val="18"/>
          <w:szCs w:val="18"/>
        </w:rPr>
        <w:t>).</w:t>
      </w:r>
    </w:p>
    <w:p w:rsidR="00D47258" w:rsidRPr="00D47258" w:rsidRDefault="00D47258" w:rsidP="00D47258">
      <w:pPr>
        <w:pStyle w:val="Testonotaapidipagina"/>
        <w:spacing w:after="0"/>
        <w:ind w:left="0"/>
        <w:rPr>
          <w:rFonts w:ascii="Arial" w:hAnsi="Arial" w:cs="Arial"/>
          <w:b/>
          <w:szCs w:val="22"/>
        </w:rPr>
      </w:pPr>
    </w:p>
    <w:p w:rsidR="00D47258" w:rsidRPr="005E02C2" w:rsidRDefault="00D47258" w:rsidP="00D47258">
      <w:pPr>
        <w:autoSpaceDE w:val="0"/>
        <w:autoSpaceDN w:val="0"/>
        <w:adjustRightInd w:val="0"/>
        <w:ind w:right="-2"/>
        <w:contextualSpacing/>
        <w:jc w:val="both"/>
        <w:rPr>
          <w:rFonts w:ascii="Arial" w:eastAsia="Times New Roman" w:hAnsi="Arial" w:cs="Arial"/>
          <w:b/>
          <w:sz w:val="20"/>
        </w:rPr>
      </w:pPr>
      <w:r w:rsidRPr="005E02C2">
        <w:rPr>
          <w:rFonts w:ascii="Arial" w:eastAsia="Times New Roman" w:hAnsi="Arial" w:cs="Arial"/>
          <w:b/>
          <w:sz w:val="20"/>
        </w:rPr>
        <w:t>8. Elenco delle partecipazioni possedute con l’indicazione della relativa quota percentuale</w:t>
      </w:r>
    </w:p>
    <w:p w:rsidR="00D47258" w:rsidRPr="005E02C2" w:rsidRDefault="00D47258" w:rsidP="00D47258">
      <w:pPr>
        <w:autoSpaceDE w:val="0"/>
        <w:autoSpaceDN w:val="0"/>
        <w:adjustRightInd w:val="0"/>
        <w:ind w:right="-2"/>
        <w:contextualSpacing/>
        <w:jc w:val="both"/>
        <w:rPr>
          <w:rFonts w:ascii="Arial" w:eastAsia="Times New Roman" w:hAnsi="Arial" w:cs="Arial"/>
          <w:sz w:val="14"/>
          <w:szCs w:val="16"/>
        </w:rPr>
      </w:pPr>
    </w:p>
    <w:p w:rsidR="00D47258" w:rsidRDefault="00D47258" w:rsidP="00D47258">
      <w:pPr>
        <w:autoSpaceDE w:val="0"/>
        <w:autoSpaceDN w:val="0"/>
        <w:adjustRightInd w:val="0"/>
        <w:ind w:right="-2"/>
        <w:contextualSpacing/>
        <w:jc w:val="both"/>
        <w:rPr>
          <w:rFonts w:ascii="Arial" w:eastAsia="Times New Roman" w:hAnsi="Arial" w:cs="Arial"/>
          <w:sz w:val="20"/>
        </w:rPr>
      </w:pPr>
      <w:r>
        <w:rPr>
          <w:rFonts w:ascii="Arial" w:eastAsia="Times New Roman" w:hAnsi="Arial" w:cs="Arial"/>
          <w:sz w:val="20"/>
        </w:rPr>
        <w:t>Al 1° gennaio 2016</w:t>
      </w:r>
      <w:r w:rsidRPr="005E02C2">
        <w:rPr>
          <w:rFonts w:ascii="Arial" w:eastAsia="Times New Roman" w:hAnsi="Arial" w:cs="Arial"/>
          <w:sz w:val="20"/>
        </w:rPr>
        <w:t xml:space="preserve"> il Comune possiede le seguenti partecipazioni dirette:</w:t>
      </w:r>
    </w:p>
    <w:p w:rsidR="00D47258" w:rsidRPr="003B5FE4" w:rsidRDefault="00D47258" w:rsidP="00D47258">
      <w:pPr>
        <w:autoSpaceDE w:val="0"/>
        <w:autoSpaceDN w:val="0"/>
        <w:adjustRightInd w:val="0"/>
        <w:ind w:right="-2"/>
        <w:contextualSpacing/>
        <w:jc w:val="both"/>
        <w:rPr>
          <w:rFonts w:ascii="Arial" w:eastAsia="Times New Roman" w:hAnsi="Arial" w:cs="Arial"/>
          <w:sz w:val="20"/>
          <w:szCs w:val="20"/>
        </w:rPr>
      </w:pPr>
    </w:p>
    <w:p w:rsidR="00D47258" w:rsidRDefault="00D47258" w:rsidP="00696F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-abbanoa:  quota di partecipazione:</w:t>
      </w:r>
    </w:p>
    <w:p w:rsidR="00D47258" w:rsidRDefault="00D47258" w:rsidP="00696F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Ato: quota di partecipazione:</w:t>
      </w:r>
    </w:p>
    <w:p w:rsidR="001109E6" w:rsidRDefault="001109E6" w:rsidP="00696F44">
      <w:pPr>
        <w:autoSpaceDE w:val="0"/>
        <w:autoSpaceDN w:val="0"/>
        <w:adjustRightInd w:val="0"/>
        <w:spacing w:after="0" w:line="240" w:lineRule="auto"/>
        <w:rPr>
          <w:rFonts w:ascii="Times New Roman" w:hAnsi="Times New Roman" w:cs="Times New Roman"/>
          <w:sz w:val="24"/>
          <w:szCs w:val="24"/>
        </w:rPr>
      </w:pPr>
    </w:p>
    <w:p w:rsidR="001109E6" w:rsidRDefault="001109E6" w:rsidP="00696F44">
      <w:pPr>
        <w:autoSpaceDE w:val="0"/>
        <w:autoSpaceDN w:val="0"/>
        <w:adjustRightInd w:val="0"/>
        <w:spacing w:after="0" w:line="240" w:lineRule="auto"/>
        <w:rPr>
          <w:rFonts w:ascii="Times New Roman" w:hAnsi="Times New Roman" w:cs="Times New Roman"/>
          <w:sz w:val="24"/>
          <w:szCs w:val="24"/>
        </w:rPr>
      </w:pPr>
    </w:p>
    <w:sectPr w:rsidR="001109E6" w:rsidSect="00D9669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2F2" w:rsidRDefault="00C172F2" w:rsidP="008D66E6">
      <w:pPr>
        <w:spacing w:after="0" w:line="240" w:lineRule="auto"/>
      </w:pPr>
      <w:r>
        <w:separator/>
      </w:r>
    </w:p>
  </w:endnote>
  <w:endnote w:type="continuationSeparator" w:id="1">
    <w:p w:rsidR="00C172F2" w:rsidRDefault="00C172F2" w:rsidP="008D66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2F2" w:rsidRDefault="00C172F2" w:rsidP="008D66E6">
      <w:pPr>
        <w:spacing w:after="0" w:line="240" w:lineRule="auto"/>
      </w:pPr>
      <w:r>
        <w:separator/>
      </w:r>
    </w:p>
  </w:footnote>
  <w:footnote w:type="continuationSeparator" w:id="1">
    <w:p w:rsidR="00C172F2" w:rsidRDefault="00C172F2" w:rsidP="008D66E6">
      <w:pPr>
        <w:spacing w:after="0" w:line="240" w:lineRule="auto"/>
      </w:pPr>
      <w:r>
        <w:continuationSeparator/>
      </w:r>
    </w:p>
  </w:footnote>
  <w:footnote w:id="2">
    <w:p w:rsidR="00582BBA" w:rsidRPr="00A662CF" w:rsidRDefault="00582BBA" w:rsidP="008D66E6">
      <w:pPr>
        <w:pStyle w:val="Testonotaapidipagina"/>
        <w:spacing w:after="0"/>
        <w:rPr>
          <w:rFonts w:ascii="Arial" w:hAnsi="Arial" w:cs="Arial"/>
          <w:sz w:val="18"/>
          <w:szCs w:val="18"/>
        </w:rPr>
      </w:pPr>
      <w:r w:rsidRPr="00A662CF">
        <w:rPr>
          <w:rStyle w:val="Rimandonotaapidipagina"/>
          <w:rFonts w:ascii="Arial" w:hAnsi="Arial" w:cs="Arial"/>
          <w:sz w:val="18"/>
          <w:szCs w:val="18"/>
        </w:rPr>
        <w:footnoteRef/>
      </w:r>
      <w:r w:rsidRPr="00A662CF">
        <w:rPr>
          <w:rFonts w:ascii="Arial" w:hAnsi="Arial" w:cs="Arial"/>
          <w:sz w:val="18"/>
          <w:szCs w:val="18"/>
        </w:rPr>
        <w:t xml:space="preserve"> Il punto 9.11.2 del principio della programmazione dispone che la nota integrativa dedichi particolare attenzione “</w:t>
      </w:r>
      <w:r w:rsidRPr="00A662CF">
        <w:rPr>
          <w:rFonts w:ascii="Arial" w:eastAsia="Times New Roman" w:hAnsi="Arial" w:cs="Arial"/>
          <w:i/>
          <w:sz w:val="18"/>
          <w:szCs w:val="18"/>
          <w:lang w:eastAsia="it-IT"/>
        </w:rPr>
        <w:t>alle previsioni riguardanti le principali imposte e tasse, agli effetti connessi alle disposizioni normative vigenti, con separata indicazione di quelle oggetto di prima applicazione e di quelle recanti esenzioni o riduzioni, con l'indicazione della natura delle agevolazioni, dei soggetti e delle categorie dei beneficiari e degli obiettivi perseguiti.</w:t>
      </w:r>
    </w:p>
  </w:footnote>
  <w:footnote w:id="3">
    <w:p w:rsidR="00582BBA" w:rsidRPr="00A662CF" w:rsidRDefault="00582BBA" w:rsidP="008D66E6">
      <w:pPr>
        <w:rPr>
          <w:rFonts w:ascii="Arial" w:eastAsia="Times New Roman" w:hAnsi="Arial" w:cs="Arial"/>
          <w:i/>
          <w:sz w:val="18"/>
          <w:szCs w:val="18"/>
        </w:rPr>
      </w:pPr>
      <w:r w:rsidRPr="00A662CF">
        <w:rPr>
          <w:rStyle w:val="Rimandonotaapidipagina"/>
          <w:rFonts w:ascii="Arial" w:eastAsia="Times New Roman" w:hAnsi="Arial" w:cs="Arial"/>
          <w:sz w:val="18"/>
          <w:szCs w:val="18"/>
        </w:rPr>
        <w:footnoteRef/>
      </w:r>
      <w:r w:rsidRPr="00A662CF">
        <w:rPr>
          <w:rFonts w:ascii="Arial" w:eastAsia="Times New Roman" w:hAnsi="Arial" w:cs="Arial"/>
          <w:sz w:val="18"/>
          <w:szCs w:val="18"/>
        </w:rPr>
        <w:t xml:space="preserve"> </w:t>
      </w:r>
      <w:r w:rsidRPr="00A662CF">
        <w:rPr>
          <w:rFonts w:ascii="Arial" w:eastAsia="Times New Roman" w:hAnsi="Arial" w:cs="Arial"/>
          <w:i/>
          <w:sz w:val="18"/>
          <w:szCs w:val="18"/>
        </w:rPr>
        <w:t>Per la spesa, relativamente al contenuto di ciascun programma di spesa,   la nota integrativa illustra i criteri di formulazione delle previsioni, con riguardo, in particolare:</w:t>
      </w:r>
    </w:p>
    <w:p w:rsidR="00582BBA" w:rsidRPr="00A662CF" w:rsidRDefault="00582BBA" w:rsidP="008D66E6">
      <w:pPr>
        <w:pStyle w:val="Paragrafoelenco"/>
        <w:numPr>
          <w:ilvl w:val="0"/>
          <w:numId w:val="5"/>
        </w:numPr>
        <w:spacing w:after="0" w:line="240" w:lineRule="auto"/>
        <w:ind w:left="1418" w:hanging="284"/>
        <w:jc w:val="both"/>
        <w:rPr>
          <w:rFonts w:ascii="Arial" w:eastAsia="Times New Roman" w:hAnsi="Arial" w:cs="Arial"/>
          <w:i/>
          <w:sz w:val="18"/>
          <w:szCs w:val="18"/>
        </w:rPr>
      </w:pPr>
      <w:r w:rsidRPr="00A662CF">
        <w:rPr>
          <w:rFonts w:ascii="Arial" w:eastAsia="Times New Roman" w:hAnsi="Arial" w:cs="Arial"/>
          <w:i/>
          <w:sz w:val="18"/>
          <w:szCs w:val="18"/>
        </w:rPr>
        <w:t>alle varie tipologie di spesa e ai relativi riferimenti legislativi, con indicazione dei corrispondenti stanziamenti del bilancio triennale;</w:t>
      </w:r>
    </w:p>
    <w:p w:rsidR="00582BBA" w:rsidRPr="00A662CF" w:rsidRDefault="00582BBA" w:rsidP="008D66E6">
      <w:pPr>
        <w:pStyle w:val="Paragrafoelenco"/>
        <w:numPr>
          <w:ilvl w:val="0"/>
          <w:numId w:val="5"/>
        </w:numPr>
        <w:spacing w:after="0" w:line="240" w:lineRule="auto"/>
        <w:ind w:left="1418" w:hanging="284"/>
        <w:jc w:val="both"/>
        <w:rPr>
          <w:rFonts w:ascii="Arial" w:eastAsia="Times New Roman" w:hAnsi="Arial" w:cs="Arial"/>
          <w:sz w:val="18"/>
          <w:szCs w:val="18"/>
        </w:rPr>
      </w:pPr>
      <w:r w:rsidRPr="00A662CF">
        <w:rPr>
          <w:rFonts w:ascii="Arial" w:eastAsia="Times New Roman" w:hAnsi="Arial" w:cs="Arial"/>
          <w:i/>
          <w:sz w:val="18"/>
          <w:szCs w:val="18"/>
        </w:rPr>
        <w:t>agli stanziamenti riguardanti gli accantonamenti ai fondi spese e ai fondi rischi, con particolare riferimento al fondo crediti di dubbia esigibilità</w:t>
      </w:r>
      <w:r w:rsidRPr="00A662CF">
        <w:rPr>
          <w:rFonts w:ascii="Arial" w:eastAsia="Times New Roman" w:hAnsi="Arial" w:cs="Arial"/>
          <w:sz w:val="18"/>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90E42"/>
    <w:multiLevelType w:val="hybridMultilevel"/>
    <w:tmpl w:val="A5786E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24154E4"/>
    <w:multiLevelType w:val="hybridMultilevel"/>
    <w:tmpl w:val="04081660"/>
    <w:lvl w:ilvl="0" w:tplc="6F966A8C">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6E91BEA"/>
    <w:multiLevelType w:val="hybridMultilevel"/>
    <w:tmpl w:val="0FE2A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98F4261"/>
    <w:multiLevelType w:val="hybridMultilevel"/>
    <w:tmpl w:val="E2F8F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4033E20"/>
    <w:multiLevelType w:val="multilevel"/>
    <w:tmpl w:val="0F9E9E36"/>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50D6449"/>
    <w:multiLevelType w:val="hybridMultilevel"/>
    <w:tmpl w:val="2B024E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88438CF"/>
    <w:multiLevelType w:val="hybridMultilevel"/>
    <w:tmpl w:val="597A2DDE"/>
    <w:lvl w:ilvl="0" w:tplc="0410000B">
      <w:start w:val="1"/>
      <w:numFmt w:val="bullet"/>
      <w:lvlText w:val=""/>
      <w:lvlJc w:val="left"/>
      <w:pPr>
        <w:ind w:left="810" w:hanging="360"/>
      </w:pPr>
      <w:rPr>
        <w:rFonts w:ascii="Wingdings" w:hAnsi="Wingdings"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283"/>
  <w:characterSpacingControl w:val="doNotCompress"/>
  <w:footnotePr>
    <w:footnote w:id="0"/>
    <w:footnote w:id="1"/>
  </w:footnotePr>
  <w:endnotePr>
    <w:endnote w:id="0"/>
    <w:endnote w:id="1"/>
  </w:endnotePr>
  <w:compat>
    <w:useFELayout/>
  </w:compat>
  <w:rsids>
    <w:rsidRoot w:val="003E413E"/>
    <w:rsid w:val="000C5DEF"/>
    <w:rsid w:val="00101139"/>
    <w:rsid w:val="001109E6"/>
    <w:rsid w:val="00214A09"/>
    <w:rsid w:val="002C7CA5"/>
    <w:rsid w:val="002D3554"/>
    <w:rsid w:val="002F0CE6"/>
    <w:rsid w:val="00302E7A"/>
    <w:rsid w:val="003130C9"/>
    <w:rsid w:val="003E413E"/>
    <w:rsid w:val="004532AB"/>
    <w:rsid w:val="00572EB9"/>
    <w:rsid w:val="00582BBA"/>
    <w:rsid w:val="005F3BE8"/>
    <w:rsid w:val="005F4AF0"/>
    <w:rsid w:val="00616B6B"/>
    <w:rsid w:val="006549D8"/>
    <w:rsid w:val="00696F44"/>
    <w:rsid w:val="006A4B29"/>
    <w:rsid w:val="00853FF8"/>
    <w:rsid w:val="008C7526"/>
    <w:rsid w:val="008D66E6"/>
    <w:rsid w:val="009214D2"/>
    <w:rsid w:val="00925BC5"/>
    <w:rsid w:val="009C2D64"/>
    <w:rsid w:val="009E0C91"/>
    <w:rsid w:val="00A55DA2"/>
    <w:rsid w:val="00B957A7"/>
    <w:rsid w:val="00C172F2"/>
    <w:rsid w:val="00D47258"/>
    <w:rsid w:val="00D96696"/>
    <w:rsid w:val="00FB038A"/>
    <w:rsid w:val="00FD6A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696"/>
  </w:style>
  <w:style w:type="paragraph" w:styleId="Titolo2">
    <w:name w:val="heading 2"/>
    <w:basedOn w:val="Normale"/>
    <w:next w:val="Normale"/>
    <w:link w:val="Titolo2Carattere"/>
    <w:qFormat/>
    <w:rsid w:val="003E413E"/>
    <w:pPr>
      <w:keepNext/>
      <w:spacing w:after="0" w:line="240" w:lineRule="auto"/>
      <w:jc w:val="center"/>
      <w:outlineLvl w:val="1"/>
    </w:pPr>
    <w:rPr>
      <w:rFonts w:ascii="Times New Roman" w:eastAsia="Times New Roman" w:hAnsi="Times New Roman" w:cs="Times New Roman"/>
      <w:b/>
      <w:sz w:val="20"/>
      <w:szCs w:val="20"/>
    </w:rPr>
  </w:style>
  <w:style w:type="paragraph" w:styleId="Titolo3">
    <w:name w:val="heading 3"/>
    <w:basedOn w:val="Normale"/>
    <w:next w:val="Normale"/>
    <w:link w:val="Titolo3Carattere"/>
    <w:qFormat/>
    <w:rsid w:val="003E413E"/>
    <w:pPr>
      <w:keepNext/>
      <w:spacing w:after="0" w:line="240" w:lineRule="auto"/>
      <w:jc w:val="right"/>
      <w:outlineLvl w:val="2"/>
    </w:pPr>
    <w:rPr>
      <w:rFonts w:ascii="Times New Roman" w:eastAsia="Times New Roman" w:hAnsi="Times New Roman" w:cs="Times New Roman"/>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E413E"/>
    <w:rPr>
      <w:rFonts w:ascii="Times New Roman" w:eastAsia="Times New Roman" w:hAnsi="Times New Roman" w:cs="Times New Roman"/>
      <w:b/>
      <w:sz w:val="20"/>
      <w:szCs w:val="20"/>
    </w:rPr>
  </w:style>
  <w:style w:type="character" w:customStyle="1" w:styleId="Titolo3Carattere">
    <w:name w:val="Titolo 3 Carattere"/>
    <w:basedOn w:val="Carpredefinitoparagrafo"/>
    <w:link w:val="Titolo3"/>
    <w:rsid w:val="003E413E"/>
    <w:rPr>
      <w:rFonts w:ascii="Times New Roman" w:eastAsia="Times New Roman" w:hAnsi="Times New Roman" w:cs="Times New Roman"/>
      <w:b/>
      <w:sz w:val="28"/>
      <w:szCs w:val="20"/>
    </w:rPr>
  </w:style>
  <w:style w:type="character" w:customStyle="1" w:styleId="Collegamentoipertestuale1">
    <w:name w:val="Collegamento ipertestuale1"/>
    <w:basedOn w:val="Carpredefinitoparagrafo"/>
    <w:rsid w:val="003E413E"/>
    <w:rPr>
      <w:color w:val="0000FF"/>
      <w:u w:val="single"/>
    </w:rPr>
  </w:style>
  <w:style w:type="paragraph" w:styleId="Testofumetto">
    <w:name w:val="Balloon Text"/>
    <w:basedOn w:val="Normale"/>
    <w:link w:val="TestofumettoCarattere"/>
    <w:uiPriority w:val="99"/>
    <w:semiHidden/>
    <w:unhideWhenUsed/>
    <w:rsid w:val="003E41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413E"/>
    <w:rPr>
      <w:rFonts w:ascii="Tahoma" w:hAnsi="Tahoma" w:cs="Tahoma"/>
      <w:sz w:val="16"/>
      <w:szCs w:val="16"/>
    </w:rPr>
  </w:style>
  <w:style w:type="paragraph" w:styleId="Paragrafoelenco">
    <w:name w:val="List Paragraph"/>
    <w:basedOn w:val="Normale"/>
    <w:uiPriority w:val="34"/>
    <w:qFormat/>
    <w:rsid w:val="000C5DEF"/>
    <w:pPr>
      <w:ind w:left="720"/>
      <w:contextualSpacing/>
    </w:pPr>
  </w:style>
  <w:style w:type="table" w:styleId="Grigliatabella">
    <w:name w:val="Table Grid"/>
    <w:basedOn w:val="Tabellanormale"/>
    <w:uiPriority w:val="59"/>
    <w:rsid w:val="009214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imandonotaapidipagina">
    <w:name w:val="footnote reference"/>
    <w:uiPriority w:val="99"/>
    <w:rsid w:val="00D47258"/>
    <w:rPr>
      <w:rFonts w:cs="Times New Roman"/>
      <w:vertAlign w:val="superscript"/>
    </w:rPr>
  </w:style>
  <w:style w:type="paragraph" w:styleId="Testonotaapidipagina">
    <w:name w:val="footnote text"/>
    <w:basedOn w:val="Normale"/>
    <w:link w:val="TestonotaapidipaginaCarattere"/>
    <w:uiPriority w:val="99"/>
    <w:unhideWhenUsed/>
    <w:rsid w:val="00D47258"/>
    <w:pPr>
      <w:spacing w:line="240" w:lineRule="auto"/>
      <w:ind w:left="-284"/>
      <w:jc w:val="both"/>
    </w:pPr>
    <w:rPr>
      <w:rFonts w:ascii="Cambria" w:eastAsia="Cambria" w:hAnsi="Cambria" w:cs="Times New Roman"/>
      <w:sz w:val="20"/>
      <w:szCs w:val="20"/>
      <w:lang w:eastAsia="en-US"/>
    </w:rPr>
  </w:style>
  <w:style w:type="character" w:customStyle="1" w:styleId="TestonotaapidipaginaCarattere">
    <w:name w:val="Testo nota a piè di pagina Carattere"/>
    <w:basedOn w:val="Carpredefinitoparagrafo"/>
    <w:link w:val="Testonotaapidipagina"/>
    <w:uiPriority w:val="99"/>
    <w:rsid w:val="00D47258"/>
    <w:rPr>
      <w:rFonts w:ascii="Cambria" w:eastAsia="Cambria" w:hAnsi="Cambria" w:cs="Times New Roman"/>
      <w:sz w:val="20"/>
      <w:szCs w:val="20"/>
      <w:lang w:eastAsia="en-US"/>
    </w:rPr>
  </w:style>
  <w:style w:type="paragraph" w:styleId="NormaleWeb">
    <w:name w:val="Normal (Web)"/>
    <w:basedOn w:val="Normale"/>
    <w:uiPriority w:val="99"/>
    <w:semiHidden/>
    <w:unhideWhenUsed/>
    <w:rsid w:val="00D47258"/>
    <w:pPr>
      <w:spacing w:before="100" w:beforeAutospacing="1" w:after="100" w:afterAutospacing="1" w:line="240" w:lineRule="auto"/>
    </w:pPr>
    <w:rPr>
      <w:rFonts w:ascii="Times" w:eastAsia="Times New Roman"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65560185">
      <w:bodyDiv w:val="1"/>
      <w:marLeft w:val="0"/>
      <w:marRight w:val="0"/>
      <w:marTop w:val="0"/>
      <w:marBottom w:val="0"/>
      <w:divBdr>
        <w:top w:val="none" w:sz="0" w:space="0" w:color="auto"/>
        <w:left w:val="none" w:sz="0" w:space="0" w:color="auto"/>
        <w:bottom w:val="none" w:sz="0" w:space="0" w:color="auto"/>
        <w:right w:val="none" w:sz="0" w:space="0" w:color="auto"/>
      </w:divBdr>
    </w:div>
    <w:div w:id="1334070372">
      <w:bodyDiv w:val="1"/>
      <w:marLeft w:val="240"/>
      <w:marRight w:val="240"/>
      <w:marTop w:val="0"/>
      <w:marBottom w:val="0"/>
      <w:divBdr>
        <w:top w:val="none" w:sz="0" w:space="0" w:color="auto"/>
        <w:left w:val="none" w:sz="0" w:space="0" w:color="auto"/>
        <w:bottom w:val="none" w:sz="0" w:space="0" w:color="auto"/>
        <w:right w:val="none" w:sz="0" w:space="0" w:color="auto"/>
      </w:divBdr>
      <w:divsChild>
        <w:div w:id="1012416719">
          <w:marLeft w:val="0"/>
          <w:marRight w:val="0"/>
          <w:marTop w:val="0"/>
          <w:marBottom w:val="0"/>
          <w:divBdr>
            <w:top w:val="none" w:sz="0" w:space="0" w:color="auto"/>
            <w:left w:val="none" w:sz="0" w:space="0" w:color="auto"/>
            <w:bottom w:val="none" w:sz="0" w:space="0" w:color="auto"/>
            <w:right w:val="none" w:sz="0" w:space="0" w:color="auto"/>
          </w:divBdr>
          <w:divsChild>
            <w:div w:id="918172490">
              <w:marLeft w:val="0"/>
              <w:marRight w:val="90"/>
              <w:marTop w:val="0"/>
              <w:marBottom w:val="0"/>
              <w:divBdr>
                <w:top w:val="none" w:sz="0" w:space="0" w:color="auto"/>
                <w:left w:val="none" w:sz="0" w:space="0" w:color="auto"/>
                <w:bottom w:val="none" w:sz="0" w:space="0" w:color="auto"/>
                <w:right w:val="none" w:sz="0" w:space="0" w:color="auto"/>
              </w:divBdr>
              <w:divsChild>
                <w:div w:id="212005466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13</Pages>
  <Words>4642</Words>
  <Characters>26464</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19</cp:revision>
  <dcterms:created xsi:type="dcterms:W3CDTF">2016-01-22T12:35:00Z</dcterms:created>
  <dcterms:modified xsi:type="dcterms:W3CDTF">2016-03-03T08:07:00Z</dcterms:modified>
</cp:coreProperties>
</file>