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1E" w:rsidRDefault="00475F1E" w:rsidP="00475F1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40"/>
          <w:szCs w:val="40"/>
        </w:rPr>
        <w:t>UNIONE DEI COMUNI DEL BARIGADU</w:t>
      </w:r>
    </w:p>
    <w:p w:rsidR="00475F1E" w:rsidRDefault="00475F1E" w:rsidP="00475F1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20"/>
        </w:rPr>
      </w:pPr>
      <w:r>
        <w:rPr>
          <w:rFonts w:ascii="Palatino Linotype" w:hAnsi="Palatino Linotype" w:cs="Palatino Linotype"/>
          <w:sz w:val="18"/>
          <w:szCs w:val="18"/>
        </w:rPr>
        <w:t xml:space="preserve">Ardauli – Bidonì – Busachi – Fordongianus – Neoneli – Nughedu Santa Vittoria – Samugheo - Sorradile – </w:t>
      </w:r>
      <w:proofErr w:type="spellStart"/>
      <w:r>
        <w:rPr>
          <w:rFonts w:ascii="Palatino Linotype" w:hAnsi="Palatino Linotype" w:cs="Palatino Linotype"/>
          <w:sz w:val="18"/>
          <w:szCs w:val="18"/>
        </w:rPr>
        <w:t>Ula</w:t>
      </w:r>
      <w:proofErr w:type="spellEnd"/>
      <w:r>
        <w:rPr>
          <w:rFonts w:ascii="Palatino Linotype" w:hAnsi="Palatino Linotype" w:cs="Palatino Linotype"/>
          <w:sz w:val="18"/>
          <w:szCs w:val="18"/>
        </w:rPr>
        <w:t xml:space="preserve"> Tirso</w:t>
      </w:r>
    </w:p>
    <w:p w:rsidR="00475F1E" w:rsidRPr="005129AF" w:rsidRDefault="00475F1E" w:rsidP="00475F1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6"/>
          <w:szCs w:val="16"/>
        </w:rPr>
      </w:pPr>
      <w:r>
        <w:rPr>
          <w:rFonts w:ascii="Palatino Linotype" w:hAnsi="Palatino Linotype" w:cs="Palatino Linotype"/>
          <w:sz w:val="20"/>
        </w:rPr>
        <w:t xml:space="preserve">Località </w:t>
      </w:r>
      <w:proofErr w:type="spellStart"/>
      <w:r>
        <w:rPr>
          <w:rFonts w:ascii="Palatino Linotype" w:hAnsi="Palatino Linotype" w:cs="Palatino Linotype"/>
          <w:sz w:val="20"/>
        </w:rPr>
        <w:t>Giolantine</w:t>
      </w:r>
      <w:proofErr w:type="spellEnd"/>
      <w:r>
        <w:rPr>
          <w:rFonts w:ascii="Palatino Linotype" w:hAnsi="Palatino Linotype" w:cs="Palatino Linotype"/>
          <w:sz w:val="20"/>
        </w:rPr>
        <w:t xml:space="preserve"> – (09082) Busachi (Or) - </w:t>
      </w:r>
      <w:r>
        <w:rPr>
          <w:rFonts w:ascii="Palatino Linotype" w:hAnsi="Palatino Linotype" w:cs="Palatino Linotype"/>
          <w:sz w:val="16"/>
          <w:szCs w:val="16"/>
        </w:rPr>
        <w:t>Codice Fiscale e Partita I.V.A. 01116420959</w:t>
      </w:r>
    </w:p>
    <w:p w:rsidR="00475F1E" w:rsidRPr="005129AF" w:rsidRDefault="00475F1E" w:rsidP="00475F1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lang w:val="en-GB"/>
        </w:rPr>
      </w:pPr>
      <w:proofErr w:type="spellStart"/>
      <w:r>
        <w:rPr>
          <w:rFonts w:ascii="Palatino Linotype" w:hAnsi="Palatino Linotype" w:cs="Palatino Linotype"/>
          <w:sz w:val="16"/>
          <w:szCs w:val="16"/>
          <w:lang w:val="en-GB"/>
        </w:rPr>
        <w:t>sito</w:t>
      </w:r>
      <w:proofErr w:type="spellEnd"/>
      <w:r>
        <w:rPr>
          <w:rFonts w:ascii="Palatino Linotype" w:hAnsi="Palatino Linotype" w:cs="Palatino Linotype"/>
          <w:sz w:val="16"/>
          <w:szCs w:val="16"/>
          <w:lang w:val="en-GB"/>
        </w:rPr>
        <w:t xml:space="preserve"> web: </w:t>
      </w:r>
      <w:hyperlink r:id="rId7" w:history="1">
        <w:r>
          <w:rPr>
            <w:rStyle w:val="Collegamentoipertestuale"/>
            <w:rFonts w:ascii="Palatino Linotype" w:hAnsi="Palatino Linotype" w:cs="Palatino Linotype"/>
            <w:sz w:val="16"/>
            <w:szCs w:val="16"/>
            <w:lang w:val="en-GB"/>
          </w:rPr>
          <w:t>www.unionecomunibarigadu.it</w:t>
        </w:r>
      </w:hyperlink>
      <w:r>
        <w:rPr>
          <w:rFonts w:ascii="Palatino Linotype" w:hAnsi="Palatino Linotype" w:cs="Palatino Linotype"/>
          <w:sz w:val="16"/>
          <w:szCs w:val="16"/>
          <w:lang w:val="en-GB"/>
        </w:rPr>
        <w:t xml:space="preserve"> - </w:t>
      </w:r>
      <w:proofErr w:type="spellStart"/>
      <w:r>
        <w:rPr>
          <w:rFonts w:ascii="Palatino Linotype" w:hAnsi="Palatino Linotype" w:cs="Palatino Linotype"/>
          <w:sz w:val="16"/>
          <w:szCs w:val="16"/>
          <w:lang w:val="en-GB"/>
        </w:rPr>
        <w:t>e.mail</w:t>
      </w:r>
      <w:proofErr w:type="spellEnd"/>
      <w:r>
        <w:rPr>
          <w:rFonts w:ascii="Palatino Linotype" w:hAnsi="Palatino Linotype" w:cs="Palatino Linotype"/>
          <w:sz w:val="16"/>
          <w:szCs w:val="16"/>
          <w:lang w:val="en-GB"/>
        </w:rPr>
        <w:t xml:space="preserve">: </w:t>
      </w:r>
      <w:r>
        <w:rPr>
          <w:rFonts w:ascii="Palatino Linotype" w:hAnsi="Palatino Linotype" w:cs="Palatino Linotype"/>
          <w:sz w:val="16"/>
          <w:szCs w:val="16"/>
          <w:lang w:val="en-GB"/>
        </w:rPr>
        <w:t>sociale</w:t>
      </w:r>
      <w:r>
        <w:rPr>
          <w:rFonts w:ascii="Palatino Linotype" w:hAnsi="Palatino Linotype" w:cs="Palatino Linotype"/>
          <w:sz w:val="16"/>
          <w:szCs w:val="16"/>
          <w:lang w:val="en-GB"/>
        </w:rPr>
        <w:t>@unionecomunibarigadu.it</w:t>
      </w:r>
    </w:p>
    <w:p w:rsidR="003F743D" w:rsidRPr="003F743D" w:rsidRDefault="00475F1E" w:rsidP="00417F25">
      <w:pPr>
        <w:spacing w:after="225" w:line="240" w:lineRule="auto"/>
        <w:jc w:val="center"/>
        <w:outlineLvl w:val="0"/>
        <w:rPr>
          <w:rFonts w:asciiTheme="majorHAnsi" w:eastAsia="Times New Roman" w:hAnsiTheme="majorHAnsi" w:cs="Times New Roman"/>
          <w:b/>
          <w:color w:val="0F0F0F"/>
          <w:kern w:val="36"/>
          <w:sz w:val="56"/>
          <w:szCs w:val="56"/>
          <w:lang w:eastAsia="it-IT"/>
        </w:rPr>
      </w:pPr>
      <w:r>
        <w:rPr>
          <w:rFonts w:asciiTheme="majorHAnsi" w:eastAsia="Times New Roman" w:hAnsiTheme="majorHAnsi" w:cs="Times New Roman"/>
          <w:b/>
          <w:color w:val="0F0F0F"/>
          <w:kern w:val="36"/>
          <w:sz w:val="56"/>
          <w:szCs w:val="56"/>
          <w:lang w:eastAsia="it-IT"/>
        </w:rPr>
        <w:t xml:space="preserve">Informa </w:t>
      </w:r>
    </w:p>
    <w:p w:rsidR="00C31AC5" w:rsidRPr="00475F1E" w:rsidRDefault="003F743D" w:rsidP="00417F25">
      <w:pPr>
        <w:spacing w:after="225" w:line="240" w:lineRule="auto"/>
        <w:jc w:val="center"/>
        <w:outlineLvl w:val="0"/>
        <w:rPr>
          <w:rFonts w:asciiTheme="majorHAnsi" w:eastAsia="Times New Roman" w:hAnsiTheme="majorHAnsi" w:cs="Times New Roman"/>
          <w:color w:val="0F0F0F"/>
          <w:kern w:val="36"/>
          <w:sz w:val="40"/>
          <w:szCs w:val="40"/>
          <w:lang w:eastAsia="it-IT"/>
        </w:rPr>
      </w:pPr>
      <w:r w:rsidRPr="00475F1E">
        <w:rPr>
          <w:rFonts w:asciiTheme="majorHAnsi" w:eastAsia="Times New Roman" w:hAnsiTheme="majorHAnsi" w:cs="Times New Roman"/>
          <w:color w:val="0F0F0F"/>
          <w:kern w:val="36"/>
          <w:sz w:val="40"/>
          <w:szCs w:val="40"/>
          <w:lang w:eastAsia="it-IT"/>
        </w:rPr>
        <w:t>che si possono presentare le domande per la concessione dell’</w:t>
      </w:r>
      <w:r w:rsidR="00BB6DA7" w:rsidRPr="00475F1E">
        <w:rPr>
          <w:rFonts w:asciiTheme="majorHAnsi" w:eastAsia="Times New Roman" w:hAnsiTheme="majorHAnsi" w:cs="Times New Roman"/>
          <w:b/>
          <w:color w:val="0F0F0F"/>
          <w:kern w:val="36"/>
          <w:sz w:val="40"/>
          <w:szCs w:val="40"/>
          <w:lang w:eastAsia="it-IT"/>
        </w:rPr>
        <w:t>A</w:t>
      </w:r>
      <w:r w:rsidRPr="00475F1E">
        <w:rPr>
          <w:rFonts w:asciiTheme="majorHAnsi" w:eastAsia="Times New Roman" w:hAnsiTheme="majorHAnsi" w:cs="Times New Roman"/>
          <w:b/>
          <w:color w:val="0F0F0F"/>
          <w:kern w:val="36"/>
          <w:sz w:val="40"/>
          <w:szCs w:val="40"/>
          <w:lang w:eastAsia="it-IT"/>
        </w:rPr>
        <w:t xml:space="preserve">ssegno </w:t>
      </w:r>
      <w:r w:rsidR="00BB6DA7" w:rsidRPr="00475F1E">
        <w:rPr>
          <w:rFonts w:asciiTheme="majorHAnsi" w:eastAsia="Times New Roman" w:hAnsiTheme="majorHAnsi" w:cs="Times New Roman"/>
          <w:b/>
          <w:color w:val="0F0F0F"/>
          <w:kern w:val="36"/>
          <w:sz w:val="40"/>
          <w:szCs w:val="40"/>
          <w:lang w:eastAsia="it-IT"/>
        </w:rPr>
        <w:t>Unico U</w:t>
      </w:r>
      <w:r w:rsidRPr="00475F1E">
        <w:rPr>
          <w:rFonts w:asciiTheme="majorHAnsi" w:eastAsia="Times New Roman" w:hAnsiTheme="majorHAnsi" w:cs="Times New Roman"/>
          <w:b/>
          <w:color w:val="0F0F0F"/>
          <w:kern w:val="36"/>
          <w:sz w:val="40"/>
          <w:szCs w:val="40"/>
          <w:lang w:eastAsia="it-IT"/>
        </w:rPr>
        <w:t>niversale</w:t>
      </w:r>
      <w:r w:rsidR="00BB6DA7" w:rsidRPr="00475F1E">
        <w:rPr>
          <w:rFonts w:asciiTheme="majorHAnsi" w:eastAsia="Times New Roman" w:hAnsiTheme="majorHAnsi" w:cs="Times New Roman"/>
          <w:b/>
          <w:color w:val="0F0F0F"/>
          <w:kern w:val="36"/>
          <w:sz w:val="40"/>
          <w:szCs w:val="40"/>
          <w:lang w:eastAsia="it-IT"/>
        </w:rPr>
        <w:t xml:space="preserve"> (AUU)</w:t>
      </w:r>
    </w:p>
    <w:p w:rsidR="00C31AC5" w:rsidRDefault="00C31AC5" w:rsidP="00417F25">
      <w:pPr>
        <w:spacing w:after="225" w:line="240" w:lineRule="auto"/>
        <w:jc w:val="center"/>
        <w:outlineLvl w:val="0"/>
        <w:rPr>
          <w:rFonts w:asciiTheme="majorHAnsi" w:eastAsia="Times New Roman" w:hAnsiTheme="majorHAnsi" w:cs="Times New Roman"/>
          <w:color w:val="0F0F0F"/>
          <w:kern w:val="36"/>
          <w:sz w:val="44"/>
          <w:szCs w:val="44"/>
          <w:lang w:eastAsia="it-IT"/>
        </w:rPr>
      </w:pPr>
      <w:r>
        <w:rPr>
          <w:rFonts w:asciiTheme="majorHAnsi" w:eastAsia="Times New Roman" w:hAnsiTheme="majorHAnsi" w:cs="Times New Roman"/>
          <w:noProof/>
          <w:color w:val="0F0F0F"/>
          <w:kern w:val="36"/>
          <w:sz w:val="44"/>
          <w:szCs w:val="44"/>
          <w:lang w:eastAsia="it-IT"/>
        </w:rPr>
        <w:drawing>
          <wp:inline distT="0" distB="0" distL="0" distR="0">
            <wp:extent cx="4864353" cy="2638425"/>
            <wp:effectExtent l="0" t="0" r="0" b="0"/>
            <wp:docPr id="1" name="Immagine 1" descr="C:\Users\ass.sociale1\Desktop\Assegno Unico Universale\assegno-unico-univers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s.sociale1\Desktop\Assegno Unico Universale\assegno-unico-universa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866" cy="264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F2B" w:rsidRPr="001229F9" w:rsidRDefault="00D63F2B" w:rsidP="00417F25">
      <w:pPr>
        <w:spacing w:after="45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5F17F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Il Consiglio dei ministri ha dato il via libera </w:t>
      </w:r>
      <w:r w:rsidR="003F743D">
        <w:rPr>
          <w:rFonts w:asciiTheme="majorHAnsi" w:eastAsia="Times New Roman" w:hAnsiTheme="majorHAnsi" w:cs="Times New Roman"/>
          <w:sz w:val="24"/>
          <w:szCs w:val="24"/>
          <w:lang w:eastAsia="it-IT"/>
        </w:rPr>
        <w:t>alla concessione de</w:t>
      </w:r>
      <w:r w:rsidRPr="005F17FA">
        <w:rPr>
          <w:rFonts w:asciiTheme="majorHAnsi" w:eastAsia="Times New Roman" w:hAnsiTheme="majorHAnsi" w:cs="Times New Roman"/>
          <w:sz w:val="24"/>
          <w:szCs w:val="24"/>
          <w:lang w:eastAsia="it-IT"/>
        </w:rPr>
        <w:t>ll’assegno unico</w:t>
      </w:r>
      <w:r w:rsidR="009C4934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universale</w:t>
      </w:r>
      <w:r w:rsidR="003F743D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. </w:t>
      </w:r>
      <w:r w:rsidRPr="005F17FA">
        <w:rPr>
          <w:rFonts w:asciiTheme="majorHAnsi" w:eastAsia="Times New Roman" w:hAnsiTheme="majorHAnsi" w:cs="Times New Roman"/>
          <w:sz w:val="24"/>
          <w:szCs w:val="24"/>
          <w:lang w:eastAsia="it-IT"/>
        </w:rPr>
        <w:t>Lo Stato soste</w:t>
      </w:r>
      <w:r w:rsidR="006C58B3">
        <w:rPr>
          <w:rFonts w:asciiTheme="majorHAnsi" w:eastAsia="Times New Roman" w:hAnsiTheme="majorHAnsi" w:cs="Times New Roman"/>
          <w:sz w:val="24"/>
          <w:szCs w:val="24"/>
          <w:lang w:eastAsia="it-IT"/>
        </w:rPr>
        <w:t>rrà tutte le famiglie con figli rientranti nel nucleo familiare indicato ai fini ISEE dal richiedente</w:t>
      </w:r>
      <w:r w:rsidRPr="005F17F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. L’assegno </w:t>
      </w:r>
      <w:r w:rsidR="001229F9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spetta alle famiglie con </w:t>
      </w:r>
      <w:r w:rsidR="001229F9" w:rsidRPr="001229F9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figli </w:t>
      </w:r>
      <w:r w:rsidRPr="001229F9">
        <w:rPr>
          <w:rFonts w:asciiTheme="majorHAnsi" w:eastAsia="Times New Roman" w:hAnsiTheme="majorHAnsi" w:cs="Times New Roman"/>
          <w:sz w:val="24"/>
          <w:szCs w:val="24"/>
          <w:lang w:eastAsia="it-IT"/>
        </w:rPr>
        <w:t>fino a 21 anni, a patto che i ragazzi studino, facci</w:t>
      </w:r>
      <w:r w:rsidR="001229F9">
        <w:rPr>
          <w:rFonts w:asciiTheme="majorHAnsi" w:eastAsia="Times New Roman" w:hAnsiTheme="majorHAnsi" w:cs="Times New Roman"/>
          <w:sz w:val="24"/>
          <w:szCs w:val="24"/>
          <w:lang w:eastAsia="it-IT"/>
        </w:rPr>
        <w:t>ano tirocini con redditi inferiori agli 8.000 euro,  s</w:t>
      </w:r>
      <w:r w:rsidR="009C4934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iano </w:t>
      </w:r>
      <w:r w:rsidR="001229F9">
        <w:rPr>
          <w:rFonts w:asciiTheme="majorHAnsi" w:eastAsia="Times New Roman" w:hAnsiTheme="majorHAnsi" w:cs="Times New Roman"/>
          <w:sz w:val="24"/>
          <w:szCs w:val="24"/>
          <w:lang w:eastAsia="it-IT"/>
        </w:rPr>
        <w:t>registrati come disoccupati presso i servizi pubblici per l’impiego, s</w:t>
      </w:r>
      <w:r w:rsidR="009C4934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iano </w:t>
      </w:r>
      <w:r w:rsidRPr="001229F9">
        <w:rPr>
          <w:rFonts w:asciiTheme="majorHAnsi" w:eastAsia="Times New Roman" w:hAnsiTheme="majorHAnsi" w:cs="Times New Roman"/>
          <w:sz w:val="24"/>
          <w:szCs w:val="24"/>
          <w:lang w:eastAsia="it-IT"/>
        </w:rPr>
        <w:t>impegnati nel servizio civile universale.</w:t>
      </w:r>
      <w:r w:rsidR="001229F9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</w:t>
      </w:r>
      <w:r w:rsidR="001229F9" w:rsidRPr="001229F9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it-IT"/>
        </w:rPr>
        <w:t>Per i figli con disabilità, spetta senza limiti di età</w:t>
      </w:r>
      <w:r w:rsidR="001229F9">
        <w:rPr>
          <w:rFonts w:asciiTheme="majorHAnsi" w:eastAsia="Times New Roman" w:hAnsiTheme="majorHAnsi" w:cs="Times New Roman"/>
          <w:sz w:val="24"/>
          <w:szCs w:val="24"/>
          <w:lang w:eastAsia="it-IT"/>
        </w:rPr>
        <w:t>.</w:t>
      </w:r>
    </w:p>
    <w:p w:rsidR="00D63F2B" w:rsidRPr="005F17FA" w:rsidRDefault="00D63F2B" w:rsidP="00417F25">
      <w:pPr>
        <w:spacing w:after="150" w:line="240" w:lineRule="auto"/>
        <w:jc w:val="both"/>
        <w:outlineLvl w:val="1"/>
        <w:rPr>
          <w:rFonts w:asciiTheme="majorHAnsi" w:eastAsia="Times New Roman" w:hAnsiTheme="majorHAnsi" w:cs="Times New Roman"/>
          <w:sz w:val="36"/>
          <w:szCs w:val="36"/>
          <w:lang w:eastAsia="it-IT"/>
        </w:rPr>
      </w:pPr>
      <w:r w:rsidRPr="005F17FA">
        <w:rPr>
          <w:rFonts w:asciiTheme="majorHAnsi" w:eastAsia="Times New Roman" w:hAnsiTheme="majorHAnsi" w:cs="Times New Roman"/>
          <w:sz w:val="36"/>
          <w:szCs w:val="36"/>
          <w:lang w:eastAsia="it-IT"/>
        </w:rPr>
        <w:t>Erogato su domanda delle famiglie</w:t>
      </w:r>
    </w:p>
    <w:p w:rsidR="00D63F2B" w:rsidRPr="005F17FA" w:rsidRDefault="00D63F2B" w:rsidP="00417F25">
      <w:pPr>
        <w:spacing w:after="45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5F17F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L’assegno unico universale per i figli, erogato dall’Inps, </w:t>
      </w:r>
      <w:r w:rsidR="00347FCD">
        <w:rPr>
          <w:rFonts w:asciiTheme="majorHAnsi" w:eastAsia="Times New Roman" w:hAnsiTheme="majorHAnsi" w:cs="Times New Roman"/>
          <w:sz w:val="24"/>
          <w:szCs w:val="24"/>
          <w:lang w:eastAsia="it-IT"/>
        </w:rPr>
        <w:t>spetta a tutti i nuclei familiari indipendentemente dalla condizione lavorativa dei genitori (</w:t>
      </w:r>
      <w:r w:rsidR="0056745E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ossia: </w:t>
      </w:r>
      <w:r w:rsidR="00347FCD">
        <w:rPr>
          <w:rFonts w:asciiTheme="majorHAnsi" w:eastAsia="Times New Roman" w:hAnsiTheme="majorHAnsi" w:cs="Times New Roman"/>
          <w:sz w:val="24"/>
          <w:szCs w:val="24"/>
          <w:lang w:eastAsia="it-IT"/>
        </w:rPr>
        <w:t>non occupati, disoccupati, percettori di reddito di cittadinanza, lavoratori dipendenti, lavoratori autonomi e pensionati).</w:t>
      </w:r>
      <w:r w:rsidRPr="005F17F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L’importo </w:t>
      </w:r>
      <w:r w:rsidR="00347FCD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è commisurato all’ISEE e </w:t>
      </w:r>
      <w:r w:rsidRPr="005F17FA">
        <w:rPr>
          <w:rFonts w:asciiTheme="majorHAnsi" w:eastAsia="Times New Roman" w:hAnsiTheme="majorHAnsi" w:cs="Times New Roman"/>
          <w:sz w:val="24"/>
          <w:szCs w:val="24"/>
          <w:lang w:eastAsia="it-IT"/>
        </w:rPr>
        <w:t>t</w:t>
      </w:r>
      <w:r w:rsidR="00347FCD">
        <w:rPr>
          <w:rFonts w:asciiTheme="majorHAnsi" w:eastAsia="Times New Roman" w:hAnsiTheme="majorHAnsi" w:cs="Times New Roman"/>
          <w:sz w:val="24"/>
          <w:szCs w:val="24"/>
          <w:lang w:eastAsia="it-IT"/>
        </w:rPr>
        <w:t>iene</w:t>
      </w:r>
      <w:r w:rsidR="005451EC" w:rsidRPr="005F17F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conto delle famiglie numerose.</w:t>
      </w:r>
      <w:r w:rsidR="00135832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</w:t>
      </w:r>
      <w:r w:rsidR="00135832" w:rsidRPr="00347FCD">
        <w:rPr>
          <w:rFonts w:asciiTheme="majorHAnsi" w:eastAsia="Times New Roman" w:hAnsiTheme="majorHAnsi" w:cs="Times New Roman"/>
          <w:sz w:val="24"/>
          <w:szCs w:val="24"/>
          <w:u w:val="single"/>
          <w:lang w:eastAsia="it-IT"/>
        </w:rPr>
        <w:t xml:space="preserve">L’erogazione </w:t>
      </w:r>
      <w:r w:rsidR="00347FCD" w:rsidRPr="00347FCD">
        <w:rPr>
          <w:rFonts w:asciiTheme="majorHAnsi" w:eastAsia="Times New Roman" w:hAnsiTheme="majorHAnsi" w:cs="Times New Roman"/>
          <w:sz w:val="24"/>
          <w:szCs w:val="24"/>
          <w:u w:val="single"/>
          <w:lang w:eastAsia="it-IT"/>
        </w:rPr>
        <w:t>avviene tramite bonifico sul conto corrente dei genitori</w:t>
      </w:r>
      <w:r w:rsidR="00347FCD">
        <w:rPr>
          <w:rFonts w:asciiTheme="majorHAnsi" w:eastAsia="Times New Roman" w:hAnsiTheme="majorHAnsi" w:cs="Times New Roman"/>
          <w:sz w:val="24"/>
          <w:szCs w:val="24"/>
          <w:lang w:eastAsia="it-IT"/>
        </w:rPr>
        <w:t>.</w:t>
      </w:r>
      <w:r w:rsidR="002238D2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</w:t>
      </w:r>
    </w:p>
    <w:p w:rsidR="00D63F2B" w:rsidRPr="005F17FA" w:rsidRDefault="00D63F2B" w:rsidP="00417F25">
      <w:pPr>
        <w:spacing w:after="150" w:line="240" w:lineRule="auto"/>
        <w:jc w:val="both"/>
        <w:outlineLvl w:val="1"/>
        <w:rPr>
          <w:rFonts w:asciiTheme="majorHAnsi" w:eastAsia="Times New Roman" w:hAnsiTheme="majorHAnsi" w:cs="Times New Roman"/>
          <w:sz w:val="36"/>
          <w:szCs w:val="36"/>
          <w:lang w:eastAsia="it-IT"/>
        </w:rPr>
      </w:pPr>
      <w:r w:rsidRPr="005F17FA">
        <w:rPr>
          <w:rFonts w:asciiTheme="majorHAnsi" w:eastAsia="Times New Roman" w:hAnsiTheme="majorHAnsi" w:cs="Times New Roman"/>
          <w:sz w:val="36"/>
          <w:szCs w:val="36"/>
          <w:lang w:eastAsia="it-IT"/>
        </w:rPr>
        <w:t>Istanze dal 1° gennaio</w:t>
      </w:r>
      <w:r w:rsidR="005451EC" w:rsidRPr="005F17FA">
        <w:rPr>
          <w:rFonts w:asciiTheme="majorHAnsi" w:eastAsia="Times New Roman" w:hAnsiTheme="majorHAnsi" w:cs="Times New Roman"/>
          <w:sz w:val="36"/>
          <w:szCs w:val="36"/>
          <w:lang w:eastAsia="it-IT"/>
        </w:rPr>
        <w:t xml:space="preserve"> 2022</w:t>
      </w:r>
    </w:p>
    <w:p w:rsidR="00D63F2B" w:rsidRDefault="00A20A5D" w:rsidP="00417F25">
      <w:pPr>
        <w:spacing w:after="45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>Dal mese di marzo 2022, il beneficio verrà erogato direttamente dall’INPS a s</w:t>
      </w:r>
      <w:r w:rsidR="0056745E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eguito </w:t>
      </w:r>
      <w:r w:rsidR="00314324">
        <w:rPr>
          <w:rFonts w:asciiTheme="majorHAnsi" w:eastAsia="Times New Roman" w:hAnsiTheme="majorHAnsi" w:cs="Times New Roman"/>
          <w:sz w:val="24"/>
          <w:szCs w:val="24"/>
          <w:lang w:eastAsia="it-IT"/>
        </w:rPr>
        <w:t>presentazione d</w:t>
      </w:r>
      <w:r w:rsidR="0056745E">
        <w:rPr>
          <w:rFonts w:asciiTheme="majorHAnsi" w:eastAsia="Times New Roman" w:hAnsiTheme="majorHAnsi" w:cs="Times New Roman"/>
          <w:sz w:val="24"/>
          <w:szCs w:val="24"/>
          <w:lang w:eastAsia="it-IT"/>
        </w:rPr>
        <w:t>ella domanda</w:t>
      </w:r>
      <w:r w:rsidR="00314324">
        <w:rPr>
          <w:rFonts w:asciiTheme="majorHAnsi" w:eastAsia="Times New Roman" w:hAnsiTheme="majorHAnsi" w:cs="Times New Roman"/>
          <w:sz w:val="24"/>
          <w:szCs w:val="24"/>
          <w:lang w:eastAsia="it-IT"/>
        </w:rPr>
        <w:t>.</w:t>
      </w:r>
      <w:r w:rsidR="0056745E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</w:t>
      </w:r>
      <w:r w:rsidR="00D63F2B" w:rsidRPr="005F17F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Le domande </w:t>
      </w: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potranno essere presentate dagli aventi diritto </w:t>
      </w:r>
      <w:r w:rsidR="00347FCD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a partire </w:t>
      </w: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>dal mese di gennaio 2022.</w:t>
      </w:r>
      <w:r w:rsidR="00135832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Per le domande presentate a partire dal 1° gennaio al 30 </w:t>
      </w:r>
      <w:r w:rsidR="00135832">
        <w:rPr>
          <w:rFonts w:asciiTheme="majorHAnsi" w:eastAsia="Times New Roman" w:hAnsiTheme="majorHAnsi" w:cs="Times New Roman"/>
          <w:sz w:val="24"/>
          <w:szCs w:val="24"/>
          <w:lang w:eastAsia="it-IT"/>
        </w:rPr>
        <w:lastRenderedPageBreak/>
        <w:t>giugno, l’assegno decorre dalla mensilità di marzo</w:t>
      </w:r>
      <w:r w:rsidR="00347FCD">
        <w:rPr>
          <w:rFonts w:asciiTheme="majorHAnsi" w:eastAsia="Times New Roman" w:hAnsiTheme="majorHAnsi" w:cs="Times New Roman"/>
          <w:sz w:val="24"/>
          <w:szCs w:val="24"/>
          <w:lang w:eastAsia="it-IT"/>
        </w:rPr>
        <w:t>;</w:t>
      </w:r>
      <w:r w:rsidR="00135832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per le domande presentate dal 1° luglio in poi, la prenotazione decorre dal mese successivo a quello di presentazione.</w:t>
      </w:r>
    </w:p>
    <w:p w:rsidR="0056745E" w:rsidRDefault="00C31AC5" w:rsidP="00417F25">
      <w:pPr>
        <w:spacing w:after="150" w:line="240" w:lineRule="auto"/>
        <w:jc w:val="both"/>
        <w:outlineLvl w:val="1"/>
        <w:rPr>
          <w:rFonts w:asciiTheme="majorHAnsi" w:eastAsia="Times New Roman" w:hAnsiTheme="majorHAnsi" w:cs="Times New Roman"/>
          <w:sz w:val="36"/>
          <w:szCs w:val="36"/>
          <w:lang w:eastAsia="it-IT"/>
        </w:rPr>
      </w:pPr>
      <w:r>
        <w:rPr>
          <w:rFonts w:asciiTheme="majorHAnsi" w:eastAsia="Times New Roman" w:hAnsiTheme="majorHAnsi" w:cs="Times New Roman"/>
          <w:sz w:val="36"/>
          <w:szCs w:val="36"/>
          <w:lang w:eastAsia="it-IT"/>
        </w:rPr>
        <w:t>Come fare la domanda</w:t>
      </w:r>
    </w:p>
    <w:p w:rsidR="0056745E" w:rsidRPr="0056745E" w:rsidRDefault="0056745E" w:rsidP="00417F25">
      <w:pPr>
        <w:pStyle w:val="Paragrafoelenco"/>
        <w:numPr>
          <w:ilvl w:val="0"/>
          <w:numId w:val="10"/>
        </w:numPr>
        <w:spacing w:after="150" w:line="240" w:lineRule="auto"/>
        <w:jc w:val="both"/>
        <w:outlineLvl w:val="1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56745E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accedendo al sito web </w:t>
      </w:r>
      <w:hyperlink r:id="rId9" w:history="1">
        <w:r w:rsidRPr="0056745E">
          <w:rPr>
            <w:rStyle w:val="Collegamentoipertestuale"/>
            <w:rFonts w:asciiTheme="majorHAnsi" w:eastAsia="Times New Roman" w:hAnsiTheme="majorHAnsi" w:cs="Times New Roman"/>
            <w:sz w:val="24"/>
            <w:szCs w:val="24"/>
            <w:lang w:eastAsia="it-IT"/>
          </w:rPr>
          <w:t>www.inps.it</w:t>
        </w:r>
      </w:hyperlink>
      <w:r w:rsidRPr="0056745E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al servizio “Assegno unico e universale per i figli a carico” con SPID almeno di livello 2, Carta identità elettronica 3.0 (CIE) o Carta Nazionale dei Servizi (CNS);</w:t>
      </w:r>
    </w:p>
    <w:p w:rsidR="0056745E" w:rsidRPr="0056745E" w:rsidRDefault="0056745E" w:rsidP="00417F25">
      <w:pPr>
        <w:pStyle w:val="Paragrafoelenco"/>
        <w:numPr>
          <w:ilvl w:val="0"/>
          <w:numId w:val="10"/>
        </w:numPr>
        <w:spacing w:after="150" w:line="240" w:lineRule="auto"/>
        <w:jc w:val="both"/>
        <w:outlineLvl w:val="1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56745E">
        <w:rPr>
          <w:rFonts w:asciiTheme="majorHAnsi" w:eastAsia="Times New Roman" w:hAnsiTheme="majorHAnsi" w:cs="Times New Roman"/>
          <w:sz w:val="24"/>
          <w:szCs w:val="24"/>
          <w:lang w:eastAsia="it-IT"/>
        </w:rPr>
        <w:t>contattando il numero verde 803.164 (gratuito da rete fissa) o il numero 06 164.164 (da rete mobile, con la tariffa applicata dal gestore telefonico);</w:t>
      </w:r>
    </w:p>
    <w:p w:rsidR="0056745E" w:rsidRPr="0056745E" w:rsidRDefault="0056745E" w:rsidP="00417F25">
      <w:pPr>
        <w:pStyle w:val="Paragrafoelenco"/>
        <w:numPr>
          <w:ilvl w:val="0"/>
          <w:numId w:val="10"/>
        </w:numPr>
        <w:spacing w:after="150" w:line="240" w:lineRule="auto"/>
        <w:jc w:val="both"/>
        <w:outlineLvl w:val="1"/>
        <w:rPr>
          <w:rFonts w:asciiTheme="majorHAnsi" w:eastAsia="Times New Roman" w:hAnsiTheme="majorHAnsi" w:cs="Times New Roman"/>
          <w:sz w:val="36"/>
          <w:szCs w:val="36"/>
          <w:lang w:eastAsia="it-IT"/>
        </w:rPr>
      </w:pPr>
      <w:r w:rsidRPr="0056745E">
        <w:rPr>
          <w:rFonts w:asciiTheme="majorHAnsi" w:eastAsia="Times New Roman" w:hAnsiTheme="majorHAnsi" w:cs="Times New Roman"/>
          <w:sz w:val="24"/>
          <w:szCs w:val="24"/>
          <w:lang w:eastAsia="it-IT"/>
        </w:rPr>
        <w:t>tramite i patronati, attraverso i servizi telematici offerti gratuitamente dagli stessi.</w:t>
      </w:r>
    </w:p>
    <w:p w:rsidR="00C31AC5" w:rsidRPr="00C31AC5" w:rsidRDefault="00C31AC5" w:rsidP="00417F25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C31AC5">
        <w:rPr>
          <w:rFonts w:asciiTheme="majorHAnsi" w:hAnsiTheme="majorHAnsi"/>
          <w:b/>
          <w:sz w:val="24"/>
          <w:szCs w:val="24"/>
        </w:rPr>
        <w:t>Per i percettori del reddito di cittadinanza, l’assegno è corrisposto d’ufficio.</w:t>
      </w:r>
    </w:p>
    <w:p w:rsidR="0056745E" w:rsidRDefault="0056745E" w:rsidP="00417F25">
      <w:pPr>
        <w:spacing w:after="150" w:line="240" w:lineRule="auto"/>
        <w:jc w:val="both"/>
        <w:outlineLvl w:val="1"/>
        <w:rPr>
          <w:rFonts w:asciiTheme="majorHAnsi" w:eastAsia="Times New Roman" w:hAnsiTheme="majorHAnsi" w:cs="Times New Roman"/>
          <w:sz w:val="36"/>
          <w:szCs w:val="36"/>
          <w:lang w:eastAsia="it-IT"/>
        </w:rPr>
      </w:pPr>
    </w:p>
    <w:p w:rsidR="0056745E" w:rsidRDefault="0056745E" w:rsidP="00417F25">
      <w:pPr>
        <w:spacing w:after="150" w:line="240" w:lineRule="auto"/>
        <w:jc w:val="both"/>
        <w:outlineLvl w:val="1"/>
        <w:rPr>
          <w:rFonts w:asciiTheme="majorHAnsi" w:eastAsia="Times New Roman" w:hAnsiTheme="majorHAnsi" w:cs="Times New Roman"/>
          <w:sz w:val="36"/>
          <w:szCs w:val="36"/>
          <w:lang w:eastAsia="it-IT"/>
        </w:rPr>
      </w:pPr>
      <w:r>
        <w:rPr>
          <w:rFonts w:asciiTheme="majorHAnsi" w:eastAsia="Times New Roman" w:hAnsiTheme="majorHAnsi" w:cs="Times New Roman"/>
          <w:sz w:val="36"/>
          <w:szCs w:val="36"/>
          <w:lang w:eastAsia="it-IT"/>
        </w:rPr>
        <w:t>Contenuto della domanda</w:t>
      </w:r>
    </w:p>
    <w:p w:rsidR="0056745E" w:rsidRDefault="0056745E" w:rsidP="00417F25">
      <w:pPr>
        <w:spacing w:after="150" w:line="240" w:lineRule="auto"/>
        <w:jc w:val="both"/>
        <w:outlineLvl w:val="1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>La domanda richiede soltanto l’autocertificazione di alcune informazioni di base, quali:</w:t>
      </w:r>
    </w:p>
    <w:p w:rsidR="0056745E" w:rsidRPr="006C58B3" w:rsidRDefault="0056745E" w:rsidP="00417F25">
      <w:pPr>
        <w:pStyle w:val="Paragrafoelenco"/>
        <w:numPr>
          <w:ilvl w:val="0"/>
          <w:numId w:val="12"/>
        </w:numPr>
        <w:spacing w:after="150" w:line="240" w:lineRule="auto"/>
        <w:jc w:val="both"/>
        <w:outlineLvl w:val="1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6C58B3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composizione del nucleo familiare e </w:t>
      </w:r>
      <w:r w:rsidR="006C58B3" w:rsidRPr="006C58B3">
        <w:rPr>
          <w:rFonts w:asciiTheme="majorHAnsi" w:eastAsia="Times New Roman" w:hAnsiTheme="majorHAnsi" w:cs="Times New Roman"/>
          <w:sz w:val="24"/>
          <w:szCs w:val="24"/>
          <w:lang w:eastAsia="it-IT"/>
        </w:rPr>
        <w:t>numero figli;</w:t>
      </w:r>
    </w:p>
    <w:p w:rsidR="006C58B3" w:rsidRPr="006C58B3" w:rsidRDefault="006C58B3" w:rsidP="00417F25">
      <w:pPr>
        <w:pStyle w:val="Paragrafoelenco"/>
        <w:numPr>
          <w:ilvl w:val="0"/>
          <w:numId w:val="12"/>
        </w:numPr>
        <w:spacing w:after="150" w:line="240" w:lineRule="auto"/>
        <w:jc w:val="both"/>
        <w:outlineLvl w:val="1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6C58B3">
        <w:rPr>
          <w:rFonts w:asciiTheme="majorHAnsi" w:eastAsia="Times New Roman" w:hAnsiTheme="majorHAnsi" w:cs="Times New Roman"/>
          <w:sz w:val="24"/>
          <w:szCs w:val="24"/>
          <w:lang w:eastAsia="it-IT"/>
        </w:rPr>
        <w:t>luogo di residenza dei componenti il nucleo familiare;</w:t>
      </w:r>
    </w:p>
    <w:p w:rsidR="0056745E" w:rsidRPr="006C58B3" w:rsidRDefault="006C58B3" w:rsidP="00417F25">
      <w:pPr>
        <w:pStyle w:val="Paragrafoelenco"/>
        <w:numPr>
          <w:ilvl w:val="0"/>
          <w:numId w:val="12"/>
        </w:numPr>
        <w:spacing w:after="150" w:line="240" w:lineRule="auto"/>
        <w:jc w:val="both"/>
        <w:outlineLvl w:val="1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6C58B3">
        <w:rPr>
          <w:rFonts w:asciiTheme="majorHAnsi" w:eastAsia="Times New Roman" w:hAnsiTheme="majorHAnsi" w:cs="Times New Roman"/>
          <w:sz w:val="24"/>
          <w:szCs w:val="24"/>
          <w:lang w:eastAsia="it-IT"/>
        </w:rPr>
        <w:t>IBAN di uno o entrambi i genitori.</w:t>
      </w:r>
    </w:p>
    <w:p w:rsidR="006C58B3" w:rsidRPr="006C58B3" w:rsidRDefault="006C58B3" w:rsidP="00417F25">
      <w:pPr>
        <w:pStyle w:val="Paragrafoelenco"/>
        <w:spacing w:after="150" w:line="240" w:lineRule="auto"/>
        <w:jc w:val="both"/>
        <w:outlineLvl w:val="1"/>
        <w:rPr>
          <w:rFonts w:asciiTheme="majorHAnsi" w:eastAsia="Times New Roman" w:hAnsiTheme="majorHAnsi" w:cs="Times New Roman"/>
          <w:sz w:val="36"/>
          <w:szCs w:val="36"/>
          <w:lang w:eastAsia="it-IT"/>
        </w:rPr>
      </w:pPr>
    </w:p>
    <w:p w:rsidR="00D63F2B" w:rsidRPr="005F17FA" w:rsidRDefault="00D63F2B" w:rsidP="00417F25">
      <w:pPr>
        <w:spacing w:after="150" w:line="240" w:lineRule="auto"/>
        <w:jc w:val="both"/>
        <w:outlineLvl w:val="1"/>
        <w:rPr>
          <w:rFonts w:asciiTheme="majorHAnsi" w:eastAsia="Times New Roman" w:hAnsiTheme="majorHAnsi" w:cs="Times New Roman"/>
          <w:sz w:val="36"/>
          <w:szCs w:val="36"/>
          <w:lang w:eastAsia="it-IT"/>
        </w:rPr>
      </w:pPr>
      <w:r w:rsidRPr="005F17FA">
        <w:rPr>
          <w:rFonts w:asciiTheme="majorHAnsi" w:eastAsia="Times New Roman" w:hAnsiTheme="majorHAnsi" w:cs="Times New Roman"/>
          <w:sz w:val="36"/>
          <w:szCs w:val="36"/>
          <w:lang w:eastAsia="it-IT"/>
        </w:rPr>
        <w:t>Spetta ai residenti da almeno due anni</w:t>
      </w:r>
    </w:p>
    <w:p w:rsidR="00D63F2B" w:rsidRPr="005F17FA" w:rsidRDefault="00D63F2B" w:rsidP="00417F25">
      <w:pPr>
        <w:spacing w:after="45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 w:rsidRPr="005F17FA">
        <w:rPr>
          <w:rFonts w:asciiTheme="majorHAnsi" w:eastAsia="Times New Roman" w:hAnsiTheme="majorHAnsi" w:cs="Times New Roman"/>
          <w:sz w:val="24"/>
          <w:szCs w:val="24"/>
          <w:lang w:eastAsia="it-IT"/>
        </w:rPr>
        <w:t>Insieme alla domanda, a differenza dei vecchi assegni parametrati al reddito, andrà presentata anche la dichiarazione I</w:t>
      </w:r>
      <w:r w:rsidR="005451EC" w:rsidRPr="005F17FA">
        <w:rPr>
          <w:rFonts w:asciiTheme="majorHAnsi" w:eastAsia="Times New Roman" w:hAnsiTheme="majorHAnsi" w:cs="Times New Roman"/>
          <w:sz w:val="24"/>
          <w:szCs w:val="24"/>
          <w:lang w:eastAsia="it-IT"/>
        </w:rPr>
        <w:t>SEE</w:t>
      </w:r>
      <w:r w:rsidRPr="005F17FA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, ma chi non la presenta riceverà comunque l’assegno al minimo. Potranno richiederlo </w:t>
      </w:r>
      <w:r w:rsidRPr="00347FCD">
        <w:rPr>
          <w:rFonts w:asciiTheme="majorHAnsi" w:eastAsia="Times New Roman" w:hAnsiTheme="majorHAnsi" w:cs="Times New Roman"/>
          <w:sz w:val="24"/>
          <w:szCs w:val="24"/>
          <w:u w:val="single"/>
          <w:lang w:eastAsia="it-IT"/>
        </w:rPr>
        <w:t>tutti i residenti da almeno due anni</w:t>
      </w:r>
      <w:r w:rsidRPr="005F17FA">
        <w:rPr>
          <w:rFonts w:asciiTheme="majorHAnsi" w:eastAsia="Times New Roman" w:hAnsiTheme="majorHAnsi" w:cs="Times New Roman"/>
          <w:sz w:val="24"/>
          <w:szCs w:val="24"/>
          <w:lang w:eastAsia="it-IT"/>
        </w:rPr>
        <w:t>, compresi i cittadini extracomunitari.</w:t>
      </w:r>
    </w:p>
    <w:p w:rsidR="00D63F2B" w:rsidRPr="005F17FA" w:rsidRDefault="00D63F2B" w:rsidP="00417F25">
      <w:pPr>
        <w:spacing w:after="150" w:line="240" w:lineRule="auto"/>
        <w:jc w:val="both"/>
        <w:outlineLvl w:val="1"/>
        <w:rPr>
          <w:rFonts w:asciiTheme="majorHAnsi" w:eastAsia="Times New Roman" w:hAnsiTheme="majorHAnsi" w:cs="Times New Roman"/>
          <w:color w:val="0F0F0F"/>
          <w:sz w:val="36"/>
          <w:szCs w:val="36"/>
          <w:lang w:eastAsia="it-IT"/>
        </w:rPr>
      </w:pPr>
      <w:r w:rsidRPr="005F17FA">
        <w:rPr>
          <w:rFonts w:asciiTheme="majorHAnsi" w:eastAsia="Times New Roman" w:hAnsiTheme="majorHAnsi" w:cs="Times New Roman"/>
          <w:color w:val="0F0F0F"/>
          <w:sz w:val="36"/>
          <w:szCs w:val="36"/>
          <w:lang w:eastAsia="it-IT"/>
        </w:rPr>
        <w:t>Importi parametrati all’I</w:t>
      </w:r>
      <w:r w:rsidR="005451EC" w:rsidRPr="005F17FA">
        <w:rPr>
          <w:rFonts w:asciiTheme="majorHAnsi" w:eastAsia="Times New Roman" w:hAnsiTheme="majorHAnsi" w:cs="Times New Roman"/>
          <w:color w:val="0F0F0F"/>
          <w:sz w:val="36"/>
          <w:szCs w:val="36"/>
          <w:lang w:eastAsia="it-IT"/>
        </w:rPr>
        <w:t>SEE</w:t>
      </w:r>
    </w:p>
    <w:p w:rsidR="00D63F2B" w:rsidRDefault="00D63F2B" w:rsidP="00417F25">
      <w:pPr>
        <w:spacing w:after="450" w:line="240" w:lineRule="auto"/>
        <w:jc w:val="both"/>
        <w:rPr>
          <w:rFonts w:asciiTheme="majorHAnsi" w:eastAsia="Times New Roman" w:hAnsiTheme="majorHAnsi" w:cs="Times New Roman"/>
          <w:color w:val="0F0F0F"/>
          <w:sz w:val="24"/>
          <w:szCs w:val="24"/>
          <w:lang w:eastAsia="it-IT"/>
        </w:rPr>
      </w:pPr>
      <w:r w:rsidRPr="005F17FA">
        <w:rPr>
          <w:rFonts w:asciiTheme="majorHAnsi" w:eastAsia="Times New Roman" w:hAnsiTheme="majorHAnsi" w:cs="Times New Roman"/>
          <w:color w:val="0F0F0F"/>
          <w:sz w:val="24"/>
          <w:szCs w:val="24"/>
          <w:lang w:eastAsia="it-IT"/>
        </w:rPr>
        <w:t>Gli importi saranno parametrati all’I</w:t>
      </w:r>
      <w:r w:rsidR="005451EC" w:rsidRPr="005F17FA">
        <w:rPr>
          <w:rFonts w:asciiTheme="majorHAnsi" w:eastAsia="Times New Roman" w:hAnsiTheme="majorHAnsi" w:cs="Times New Roman"/>
          <w:color w:val="0F0F0F"/>
          <w:sz w:val="24"/>
          <w:szCs w:val="24"/>
          <w:lang w:eastAsia="it-IT"/>
        </w:rPr>
        <w:t>SEE.  D</w:t>
      </w:r>
      <w:r w:rsidRPr="005F17FA">
        <w:rPr>
          <w:rFonts w:asciiTheme="majorHAnsi" w:eastAsia="Times New Roman" w:hAnsiTheme="majorHAnsi" w:cs="Times New Roman"/>
          <w:color w:val="0F0F0F"/>
          <w:sz w:val="24"/>
          <w:szCs w:val="24"/>
          <w:lang w:eastAsia="it-IT"/>
        </w:rPr>
        <w:t>ue in linea generale i limiti individuati, sotto i 15mila euro di I</w:t>
      </w:r>
      <w:r w:rsidR="005451EC" w:rsidRPr="005F17FA">
        <w:rPr>
          <w:rFonts w:asciiTheme="majorHAnsi" w:eastAsia="Times New Roman" w:hAnsiTheme="majorHAnsi" w:cs="Times New Roman"/>
          <w:color w:val="0F0F0F"/>
          <w:sz w:val="24"/>
          <w:szCs w:val="24"/>
          <w:lang w:eastAsia="it-IT"/>
        </w:rPr>
        <w:t>SEE</w:t>
      </w:r>
      <w:r w:rsidRPr="005F17FA">
        <w:rPr>
          <w:rFonts w:asciiTheme="majorHAnsi" w:eastAsia="Times New Roman" w:hAnsiTheme="majorHAnsi" w:cs="Times New Roman"/>
          <w:color w:val="0F0F0F"/>
          <w:sz w:val="24"/>
          <w:szCs w:val="24"/>
          <w:lang w:eastAsia="it-IT"/>
        </w:rPr>
        <w:t xml:space="preserve"> per avere il massimo dei benefici, oltre i 40mila per avere comunque almeno il minimo. Nessuna famiglia, se vorrà, resterà quindi fuori dal contributo che andrà dai 50 ai 175 euro al mese, che scendono da 25 a 85 euro per i figli tra i 18 e i 21 anni.</w:t>
      </w:r>
    </w:p>
    <w:p w:rsidR="002238D2" w:rsidRPr="005F17FA" w:rsidRDefault="002238D2" w:rsidP="00417F25">
      <w:pPr>
        <w:spacing w:after="150" w:line="240" w:lineRule="auto"/>
        <w:jc w:val="both"/>
        <w:outlineLvl w:val="1"/>
        <w:rPr>
          <w:rFonts w:asciiTheme="majorHAnsi" w:eastAsia="Times New Roman" w:hAnsiTheme="majorHAnsi" w:cs="Times New Roman"/>
          <w:color w:val="0F0F0F"/>
          <w:sz w:val="36"/>
          <w:szCs w:val="36"/>
          <w:lang w:eastAsia="it-IT"/>
        </w:rPr>
      </w:pPr>
      <w:r w:rsidRPr="005F17FA">
        <w:rPr>
          <w:rFonts w:asciiTheme="majorHAnsi" w:eastAsia="Times New Roman" w:hAnsiTheme="majorHAnsi" w:cs="Times New Roman"/>
          <w:color w:val="0F0F0F"/>
          <w:sz w:val="36"/>
          <w:szCs w:val="36"/>
          <w:lang w:eastAsia="it-IT"/>
        </w:rPr>
        <w:t xml:space="preserve">Gli importi </w:t>
      </w:r>
      <w:r>
        <w:rPr>
          <w:rFonts w:asciiTheme="majorHAnsi" w:eastAsia="Times New Roman" w:hAnsiTheme="majorHAnsi" w:cs="Times New Roman"/>
          <w:color w:val="0F0F0F"/>
          <w:sz w:val="36"/>
          <w:szCs w:val="36"/>
          <w:lang w:eastAsia="it-IT"/>
        </w:rPr>
        <w:t>previsti</w:t>
      </w:r>
    </w:p>
    <w:p w:rsidR="002238D2" w:rsidRPr="005F17FA" w:rsidRDefault="002238D2" w:rsidP="00475F1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</w:pPr>
      <w:r w:rsidRPr="005F17FA">
        <w:rPr>
          <w:rFonts w:asciiTheme="majorHAnsi" w:eastAsia="Times New Roman" w:hAnsiTheme="majorHAnsi" w:cs="Times New Roman"/>
          <w:b/>
          <w:bCs/>
          <w:color w:val="4A4A4A"/>
          <w:sz w:val="24"/>
          <w:szCs w:val="24"/>
          <w:lang w:eastAsia="it-IT"/>
        </w:rPr>
        <w:t>L’assegno mensile</w:t>
      </w:r>
      <w:r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 si compone di due parti, una viene calcolata in base all’ISEE, mentre l’altra, la cosiddetta maggiorazione, varia in base alla situazione familiare.</w:t>
      </w:r>
    </w:p>
    <w:p w:rsidR="002238D2" w:rsidRPr="005F17FA" w:rsidRDefault="002238D2" w:rsidP="00475F1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</w:pPr>
      <w:r w:rsidRPr="005F17FA">
        <w:rPr>
          <w:rFonts w:asciiTheme="majorHAnsi" w:eastAsia="Times New Roman" w:hAnsiTheme="majorHAnsi" w:cs="Times New Roman"/>
          <w:b/>
          <w:bCs/>
          <w:color w:val="4A4A4A"/>
          <w:sz w:val="24"/>
          <w:szCs w:val="24"/>
          <w:lang w:eastAsia="it-IT"/>
        </w:rPr>
        <w:t>L’ISEE viene considerato </w:t>
      </w:r>
      <w:r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come indicato nella tabella seguente: 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75"/>
      </w:tblGrid>
      <w:tr w:rsidR="002238D2" w:rsidRPr="005F17FA" w:rsidTr="00BB6DA7">
        <w:trPr>
          <w:trHeight w:val="522"/>
        </w:trPr>
        <w:tc>
          <w:tcPr>
            <w:tcW w:w="4395" w:type="dxa"/>
          </w:tcPr>
          <w:p w:rsidR="00BB6DA7" w:rsidRPr="005F17FA" w:rsidRDefault="002238D2" w:rsidP="00BB6DA7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color w:val="4A4A4A"/>
                <w:sz w:val="24"/>
                <w:szCs w:val="24"/>
                <w:lang w:eastAsia="it-IT"/>
              </w:rPr>
            </w:pPr>
            <w:r w:rsidRPr="005F17FA">
              <w:rPr>
                <w:rFonts w:asciiTheme="majorHAnsi" w:eastAsia="Times New Roman" w:hAnsiTheme="majorHAnsi" w:cs="Times New Roman"/>
                <w:color w:val="4A4A4A"/>
                <w:sz w:val="24"/>
                <w:szCs w:val="24"/>
                <w:lang w:eastAsia="it-IT"/>
              </w:rPr>
              <w:t>Fino a 15.000 euro</w:t>
            </w:r>
          </w:p>
        </w:tc>
        <w:tc>
          <w:tcPr>
            <w:tcW w:w="5275" w:type="dxa"/>
          </w:tcPr>
          <w:p w:rsidR="002238D2" w:rsidRPr="005F17FA" w:rsidRDefault="002238D2" w:rsidP="00417F25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color w:val="4A4A4A"/>
                <w:sz w:val="24"/>
                <w:szCs w:val="24"/>
                <w:lang w:eastAsia="it-IT"/>
              </w:rPr>
            </w:pPr>
            <w:r w:rsidRPr="005F17FA">
              <w:rPr>
                <w:rFonts w:asciiTheme="majorHAnsi" w:eastAsia="Times New Roman" w:hAnsiTheme="majorHAnsi" w:cs="Times New Roman"/>
                <w:color w:val="4A4A4A"/>
                <w:sz w:val="24"/>
                <w:szCs w:val="24"/>
                <w:lang w:eastAsia="it-IT"/>
              </w:rPr>
              <w:t>175 euro (85 euro per i maggiorenni)</w:t>
            </w:r>
          </w:p>
        </w:tc>
      </w:tr>
      <w:tr w:rsidR="002238D2" w:rsidRPr="005F17FA" w:rsidTr="0046642F">
        <w:tc>
          <w:tcPr>
            <w:tcW w:w="4395" w:type="dxa"/>
          </w:tcPr>
          <w:p w:rsidR="002238D2" w:rsidRPr="005F17FA" w:rsidRDefault="002238D2" w:rsidP="00BB6DA7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color w:val="4A4A4A"/>
                <w:sz w:val="24"/>
                <w:szCs w:val="24"/>
                <w:lang w:eastAsia="it-IT"/>
              </w:rPr>
            </w:pPr>
            <w:r w:rsidRPr="005F17FA">
              <w:rPr>
                <w:rFonts w:asciiTheme="majorHAnsi" w:eastAsia="Times New Roman" w:hAnsiTheme="majorHAnsi" w:cs="Times New Roman"/>
                <w:color w:val="4A4A4A"/>
                <w:sz w:val="24"/>
                <w:szCs w:val="24"/>
                <w:lang w:eastAsia="it-IT"/>
              </w:rPr>
              <w:t>Fino a 40.000 euro</w:t>
            </w:r>
          </w:p>
        </w:tc>
        <w:tc>
          <w:tcPr>
            <w:tcW w:w="5275" w:type="dxa"/>
          </w:tcPr>
          <w:p w:rsidR="002238D2" w:rsidRPr="005F17FA" w:rsidRDefault="002238D2" w:rsidP="00417F25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color w:val="4A4A4A"/>
                <w:sz w:val="24"/>
                <w:szCs w:val="24"/>
                <w:lang w:eastAsia="it-IT"/>
              </w:rPr>
            </w:pPr>
            <w:r w:rsidRPr="005F17FA">
              <w:rPr>
                <w:rFonts w:asciiTheme="majorHAnsi" w:eastAsia="Times New Roman" w:hAnsiTheme="majorHAnsi" w:cs="Times New Roman"/>
                <w:color w:val="4A4A4A"/>
                <w:sz w:val="24"/>
                <w:szCs w:val="24"/>
                <w:lang w:eastAsia="it-IT"/>
              </w:rPr>
              <w:t>Importo decrescente fino a un minimo di 50 euro (25 euro per i maggiorenni)</w:t>
            </w:r>
          </w:p>
        </w:tc>
      </w:tr>
      <w:tr w:rsidR="002238D2" w:rsidRPr="005F17FA" w:rsidTr="0046642F">
        <w:tc>
          <w:tcPr>
            <w:tcW w:w="4395" w:type="dxa"/>
          </w:tcPr>
          <w:p w:rsidR="00BB6DA7" w:rsidRDefault="002238D2" w:rsidP="00BB6DA7">
            <w:pPr>
              <w:jc w:val="center"/>
              <w:rPr>
                <w:rFonts w:asciiTheme="majorHAnsi" w:eastAsia="Times New Roman" w:hAnsiTheme="majorHAnsi" w:cs="Times New Roman"/>
                <w:color w:val="4A4A4A"/>
                <w:sz w:val="24"/>
                <w:szCs w:val="24"/>
                <w:lang w:eastAsia="it-IT"/>
              </w:rPr>
            </w:pPr>
            <w:r w:rsidRPr="005F17FA">
              <w:rPr>
                <w:rFonts w:asciiTheme="majorHAnsi" w:eastAsia="Times New Roman" w:hAnsiTheme="majorHAnsi" w:cs="Times New Roman"/>
                <w:color w:val="4A4A4A"/>
                <w:sz w:val="24"/>
                <w:szCs w:val="24"/>
                <w:lang w:eastAsia="it-IT"/>
              </w:rPr>
              <w:t xml:space="preserve">Oltre i 40.000 euro </w:t>
            </w:r>
          </w:p>
          <w:p w:rsidR="002238D2" w:rsidRPr="005F17FA" w:rsidRDefault="002238D2" w:rsidP="00BB6DA7">
            <w:pPr>
              <w:jc w:val="center"/>
              <w:rPr>
                <w:rFonts w:asciiTheme="majorHAnsi" w:eastAsia="Times New Roman" w:hAnsiTheme="majorHAnsi" w:cs="Times New Roman"/>
                <w:color w:val="4A4A4A"/>
                <w:sz w:val="24"/>
                <w:szCs w:val="24"/>
                <w:lang w:eastAsia="it-IT"/>
              </w:rPr>
            </w:pPr>
            <w:r w:rsidRPr="005F17FA">
              <w:rPr>
                <w:rFonts w:asciiTheme="majorHAnsi" w:eastAsia="Times New Roman" w:hAnsiTheme="majorHAnsi" w:cs="Times New Roman"/>
                <w:color w:val="4A4A4A"/>
                <w:sz w:val="24"/>
                <w:szCs w:val="24"/>
                <w:lang w:eastAsia="it-IT"/>
              </w:rPr>
              <w:t>o senza presentare ISEE</w:t>
            </w:r>
          </w:p>
        </w:tc>
        <w:tc>
          <w:tcPr>
            <w:tcW w:w="5275" w:type="dxa"/>
          </w:tcPr>
          <w:p w:rsidR="002238D2" w:rsidRPr="005F17FA" w:rsidRDefault="002238D2" w:rsidP="00417F25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="Times New Roman"/>
                <w:color w:val="4A4A4A"/>
                <w:sz w:val="24"/>
                <w:szCs w:val="24"/>
                <w:lang w:eastAsia="it-IT"/>
              </w:rPr>
            </w:pPr>
            <w:r w:rsidRPr="005F17FA">
              <w:rPr>
                <w:rFonts w:asciiTheme="majorHAnsi" w:eastAsia="Times New Roman" w:hAnsiTheme="majorHAnsi" w:cs="Times New Roman"/>
                <w:color w:val="4A4A4A"/>
                <w:sz w:val="24"/>
                <w:szCs w:val="24"/>
                <w:lang w:eastAsia="it-IT"/>
              </w:rPr>
              <w:t>50 euro (25 euro per i maggiorenni)</w:t>
            </w:r>
          </w:p>
        </w:tc>
      </w:tr>
    </w:tbl>
    <w:p w:rsidR="00D63F2B" w:rsidRPr="005F17FA" w:rsidRDefault="00D63F2B" w:rsidP="00417F25">
      <w:pPr>
        <w:spacing w:after="150" w:line="240" w:lineRule="auto"/>
        <w:jc w:val="both"/>
        <w:outlineLvl w:val="1"/>
        <w:rPr>
          <w:rFonts w:asciiTheme="majorHAnsi" w:eastAsia="Times New Roman" w:hAnsiTheme="majorHAnsi" w:cs="Times New Roman"/>
          <w:color w:val="0F0F0F"/>
          <w:sz w:val="36"/>
          <w:szCs w:val="36"/>
          <w:lang w:eastAsia="it-IT"/>
        </w:rPr>
      </w:pPr>
      <w:r w:rsidRPr="005F17FA">
        <w:rPr>
          <w:rFonts w:asciiTheme="majorHAnsi" w:eastAsia="Times New Roman" w:hAnsiTheme="majorHAnsi" w:cs="Times New Roman"/>
          <w:color w:val="0F0F0F"/>
          <w:sz w:val="36"/>
          <w:szCs w:val="36"/>
          <w:lang w:eastAsia="it-IT"/>
        </w:rPr>
        <w:lastRenderedPageBreak/>
        <w:t>Le maggiorazioni previste</w:t>
      </w:r>
    </w:p>
    <w:p w:rsidR="00D63F2B" w:rsidRPr="005F17FA" w:rsidRDefault="00D63F2B" w:rsidP="00417F25">
      <w:pPr>
        <w:spacing w:after="0" w:line="240" w:lineRule="auto"/>
        <w:jc w:val="both"/>
        <w:rPr>
          <w:rFonts w:asciiTheme="majorHAnsi" w:eastAsia="Times New Roman" w:hAnsiTheme="majorHAnsi" w:cs="Times New Roman"/>
          <w:color w:val="0F0F0F"/>
          <w:sz w:val="24"/>
          <w:szCs w:val="24"/>
          <w:lang w:eastAsia="it-IT"/>
        </w:rPr>
      </w:pPr>
      <w:r w:rsidRPr="005F17FA">
        <w:rPr>
          <w:rFonts w:asciiTheme="majorHAnsi" w:eastAsia="Times New Roman" w:hAnsiTheme="majorHAnsi" w:cs="Times New Roman"/>
          <w:color w:val="0F0F0F"/>
          <w:sz w:val="24"/>
          <w:szCs w:val="24"/>
          <w:lang w:eastAsia="it-IT"/>
        </w:rPr>
        <w:t xml:space="preserve">Previste una serie di maggiorazioni in base al numero di figli e alla presenza di disabili, ma si terrà conto anche del fatto che entrambi i genitori lavorano. </w:t>
      </w:r>
    </w:p>
    <w:p w:rsidR="001A71BE" w:rsidRPr="005F17FA" w:rsidRDefault="001A71BE" w:rsidP="00417F25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</w:pPr>
      <w:r w:rsidRPr="005F17FA">
        <w:rPr>
          <w:rFonts w:asciiTheme="majorHAnsi" w:eastAsia="Times New Roman" w:hAnsiTheme="majorHAnsi" w:cs="Times New Roman"/>
          <w:b/>
          <w:bCs/>
          <w:color w:val="4A4A4A"/>
          <w:sz w:val="24"/>
          <w:szCs w:val="24"/>
          <w:lang w:eastAsia="it-IT"/>
        </w:rPr>
        <w:t>La maggiorazione</w:t>
      </w:r>
      <w:r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 spetta in maniera differente a seconda delle situazioni, alcune dell</w:t>
      </w:r>
      <w:r w:rsidR="00F918CF"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 xml:space="preserve">e quali dipendono ancora dall’ISEE </w:t>
      </w:r>
      <w:r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ma si ricollegano ai seguenti casi particolari:</w:t>
      </w:r>
    </w:p>
    <w:p w:rsidR="001A71BE" w:rsidRDefault="001A71BE" w:rsidP="00417F2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textAlignment w:val="baseline"/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</w:pPr>
      <w:r w:rsidRPr="005F17FA">
        <w:rPr>
          <w:rFonts w:asciiTheme="majorHAnsi" w:eastAsia="Times New Roman" w:hAnsiTheme="majorHAnsi" w:cs="Times New Roman"/>
          <w:b/>
          <w:bCs/>
          <w:color w:val="4A4A4A"/>
          <w:sz w:val="24"/>
          <w:szCs w:val="24"/>
          <w:lang w:eastAsia="it-IT"/>
        </w:rPr>
        <w:t>a partire dal terzo figlio</w:t>
      </w:r>
      <w:r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, un importo mensile variabile tra i 15 e gli 85 euro. Per redditi I</w:t>
      </w:r>
      <w:r w:rsidR="00F918CF"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SEE</w:t>
      </w:r>
      <w:r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 fino a 15.000 euro spetta in misura piena, poi decresce fino a 15 euro che spettano a chi possiede almeno 40.000 euro di reddito I</w:t>
      </w:r>
      <w:r w:rsidR="00F918CF"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SEE</w:t>
      </w:r>
      <w:r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;</w:t>
      </w:r>
    </w:p>
    <w:p w:rsidR="001A71BE" w:rsidRPr="005F17FA" w:rsidRDefault="001A71BE" w:rsidP="00417F2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textAlignment w:val="baseline"/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</w:pPr>
      <w:r w:rsidRPr="005F17FA">
        <w:rPr>
          <w:rFonts w:asciiTheme="majorHAnsi" w:eastAsia="Times New Roman" w:hAnsiTheme="majorHAnsi" w:cs="Times New Roman"/>
          <w:b/>
          <w:bCs/>
          <w:color w:val="4A4A4A"/>
          <w:sz w:val="24"/>
          <w:szCs w:val="24"/>
          <w:lang w:eastAsia="it-IT"/>
        </w:rPr>
        <w:t>se entrambi i genitori lavorano</w:t>
      </w:r>
      <w:r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, un importo mensile di 30 euro a figlio che dec</w:t>
      </w:r>
      <w:r w:rsidR="00F918CF"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rescono fino ad azzerarsi per ISEE</w:t>
      </w:r>
      <w:r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 superiori ai 40.000 euro;</w:t>
      </w:r>
    </w:p>
    <w:p w:rsidR="001A71BE" w:rsidRPr="005F17FA" w:rsidRDefault="001A71BE" w:rsidP="00417F2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textAlignment w:val="baseline"/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</w:pPr>
      <w:r w:rsidRPr="005F17FA">
        <w:rPr>
          <w:rFonts w:asciiTheme="majorHAnsi" w:eastAsia="Times New Roman" w:hAnsiTheme="majorHAnsi" w:cs="Times New Roman"/>
          <w:b/>
          <w:bCs/>
          <w:color w:val="4A4A4A"/>
          <w:sz w:val="24"/>
          <w:szCs w:val="24"/>
          <w:lang w:eastAsia="it-IT"/>
        </w:rPr>
        <w:t>per le mamme under 21</w:t>
      </w:r>
      <w:r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, un importo di 20 euro mensili a figlio a prescindere dall’I</w:t>
      </w:r>
      <w:r w:rsidR="00F918CF"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SEE</w:t>
      </w:r>
      <w:r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;</w:t>
      </w:r>
    </w:p>
    <w:p w:rsidR="001A71BE" w:rsidRPr="005F17FA" w:rsidRDefault="001A71BE" w:rsidP="00417F2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textAlignment w:val="baseline"/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</w:pPr>
      <w:r w:rsidRPr="005F17FA">
        <w:rPr>
          <w:rFonts w:asciiTheme="majorHAnsi" w:eastAsia="Times New Roman" w:hAnsiTheme="majorHAnsi" w:cs="Times New Roman"/>
          <w:b/>
          <w:bCs/>
          <w:color w:val="4A4A4A"/>
          <w:sz w:val="24"/>
          <w:szCs w:val="24"/>
          <w:lang w:eastAsia="it-IT"/>
        </w:rPr>
        <w:t>in caso di 4 o più figli</w:t>
      </w:r>
      <w:r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 un importo forfettario di 100 euro mensili;</w:t>
      </w:r>
    </w:p>
    <w:p w:rsidR="001A71BE" w:rsidRPr="005F17FA" w:rsidRDefault="001A71BE" w:rsidP="00417F2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textAlignment w:val="baseline"/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</w:pPr>
      <w:r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per i nuclei con </w:t>
      </w:r>
      <w:r w:rsidRPr="005F17FA">
        <w:rPr>
          <w:rFonts w:asciiTheme="majorHAnsi" w:eastAsia="Times New Roman" w:hAnsiTheme="majorHAnsi" w:cs="Times New Roman"/>
          <w:b/>
          <w:bCs/>
          <w:color w:val="4A4A4A"/>
          <w:sz w:val="24"/>
          <w:szCs w:val="24"/>
          <w:lang w:eastAsia="it-IT"/>
        </w:rPr>
        <w:t>I</w:t>
      </w:r>
      <w:r w:rsidR="00F918CF" w:rsidRPr="005F17FA">
        <w:rPr>
          <w:rFonts w:asciiTheme="majorHAnsi" w:eastAsia="Times New Roman" w:hAnsiTheme="majorHAnsi" w:cs="Times New Roman"/>
          <w:b/>
          <w:bCs/>
          <w:color w:val="4A4A4A"/>
          <w:sz w:val="24"/>
          <w:szCs w:val="24"/>
          <w:lang w:eastAsia="it-IT"/>
        </w:rPr>
        <w:t>SEE</w:t>
      </w:r>
      <w:r w:rsidRPr="005F17FA">
        <w:rPr>
          <w:rFonts w:asciiTheme="majorHAnsi" w:eastAsia="Times New Roman" w:hAnsiTheme="majorHAnsi" w:cs="Times New Roman"/>
          <w:b/>
          <w:bCs/>
          <w:color w:val="4A4A4A"/>
          <w:sz w:val="24"/>
          <w:szCs w:val="24"/>
          <w:lang w:eastAsia="it-IT"/>
        </w:rPr>
        <w:t xml:space="preserve"> fino a 25.000 euro</w:t>
      </w:r>
      <w:r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, per i prossimi tre anni è istituita una ulteriore maggiorazione che dipende dalla composizione del nucleo e dalla compon</w:t>
      </w:r>
      <w:r w:rsidR="00F918CF"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ente reddituale inserita nell’ISEE</w:t>
      </w:r>
      <w:r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. </w:t>
      </w:r>
    </w:p>
    <w:p w:rsidR="001A71BE" w:rsidRPr="005F17FA" w:rsidRDefault="002238D2" w:rsidP="00417F2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C</w:t>
      </w:r>
      <w:r w:rsidR="001A71BE"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hi non presenta l’I</w:t>
      </w:r>
      <w:r w:rsidR="00F918CF"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SEE</w:t>
      </w:r>
      <w:r w:rsidR="001A71BE"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 xml:space="preserve"> ha diritto agli importi minimi, di fatto si presume che il nucleo familiare possegga un I</w:t>
      </w:r>
      <w:r w:rsidR="00F918CF"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SEE</w:t>
      </w:r>
      <w:r w:rsidR="001A71BE"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 di almeno 40.000 euro.</w:t>
      </w:r>
    </w:p>
    <w:p w:rsidR="001A71BE" w:rsidRPr="005F17FA" w:rsidRDefault="001A71BE" w:rsidP="00417F2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</w:pPr>
      <w:r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In ogni caso, l’importo dell’assegno unico </w:t>
      </w:r>
      <w:r w:rsidRPr="005F17FA">
        <w:rPr>
          <w:rFonts w:asciiTheme="majorHAnsi" w:eastAsia="Times New Roman" w:hAnsiTheme="majorHAnsi" w:cs="Times New Roman"/>
          <w:b/>
          <w:bCs/>
          <w:color w:val="4A4A4A"/>
          <w:sz w:val="24"/>
          <w:szCs w:val="24"/>
          <w:lang w:eastAsia="it-IT"/>
        </w:rPr>
        <w:t>non costituisce reddito</w:t>
      </w:r>
      <w:r w:rsidRPr="005F17FA">
        <w:rPr>
          <w:rFonts w:asciiTheme="majorHAnsi" w:eastAsia="Times New Roman" w:hAnsiTheme="majorHAnsi" w:cs="Times New Roman"/>
          <w:color w:val="4A4A4A"/>
          <w:sz w:val="24"/>
          <w:szCs w:val="24"/>
          <w:lang w:eastAsia="it-IT"/>
        </w:rPr>
        <w:t> e non viene conteggiato per la richiesta di prestazioni sociali agevolate, dei trattamenti assistenziali o di altri benefici previsti in favore dei figli con disabilità.</w:t>
      </w:r>
    </w:p>
    <w:p w:rsidR="002238D2" w:rsidRDefault="002238D2" w:rsidP="00417F25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2238D2" w:rsidRPr="002238D2" w:rsidRDefault="0043371F" w:rsidP="00417F25">
      <w:pPr>
        <w:spacing w:after="0" w:line="240" w:lineRule="auto"/>
        <w:jc w:val="both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L’assegno unico universale sostituisce</w:t>
      </w:r>
    </w:p>
    <w:p w:rsidR="002238D2" w:rsidRPr="002238D2" w:rsidRDefault="002238D2" w:rsidP="00417F25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2238D2" w:rsidRDefault="00347FCD" w:rsidP="00417F25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Dal mese di marzo 2022 non verranno più erogati in busta paga gli assegni per il nucleo familiare e gli assegni familiari, inoltre non saranno più riconosciute le detrazioni per figli a carico sotto i 21 anni, </w:t>
      </w:r>
      <w:r w:rsidRPr="00A20A5D">
        <w:rPr>
          <w:rFonts w:asciiTheme="majorHAnsi" w:hAnsiTheme="majorHAnsi"/>
          <w:sz w:val="24"/>
          <w:szCs w:val="24"/>
        </w:rPr>
        <w:t>il premio alla nascita, l’assegno di natalità.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A178AC" w:rsidRPr="00A178AC" w:rsidRDefault="00A178AC" w:rsidP="00417F25">
      <w:pPr>
        <w:jc w:val="both"/>
        <w:rPr>
          <w:rFonts w:asciiTheme="majorHAnsi" w:hAnsiTheme="majorHAnsi"/>
        </w:rPr>
      </w:pPr>
    </w:p>
    <w:p w:rsidR="00A178AC" w:rsidRDefault="00A4561A" w:rsidP="00417F2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Busachi, 1</w:t>
      </w:r>
      <w:r w:rsidR="00475F1E">
        <w:rPr>
          <w:rFonts w:asciiTheme="majorHAnsi" w:hAnsiTheme="majorHAnsi"/>
        </w:rPr>
        <w:t>2</w:t>
      </w:r>
      <w:r>
        <w:rPr>
          <w:rFonts w:asciiTheme="majorHAnsi" w:hAnsiTheme="majorHAnsi"/>
        </w:rPr>
        <w:t xml:space="preserve"> gennaio 2022</w:t>
      </w:r>
    </w:p>
    <w:p w:rsidR="00A4561A" w:rsidRDefault="00A4561A" w:rsidP="00A4561A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La responsabile del servizio sociale associato</w:t>
      </w:r>
    </w:p>
    <w:p w:rsidR="00A4561A" w:rsidRPr="00A4561A" w:rsidRDefault="00A4561A" w:rsidP="00A4561A">
      <w:pPr>
        <w:spacing w:after="0" w:line="240" w:lineRule="auto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 </w:t>
      </w:r>
      <w:r w:rsidRPr="00A4561A">
        <w:rPr>
          <w:rFonts w:asciiTheme="majorHAnsi" w:hAnsiTheme="majorHAnsi"/>
          <w:i/>
        </w:rPr>
        <w:t xml:space="preserve">Dott.ssa </w:t>
      </w:r>
      <w:r>
        <w:rPr>
          <w:rFonts w:asciiTheme="majorHAnsi" w:hAnsiTheme="majorHAnsi"/>
          <w:i/>
        </w:rPr>
        <w:t xml:space="preserve"> A.S.  </w:t>
      </w:r>
      <w:r w:rsidRPr="00A4561A">
        <w:rPr>
          <w:rFonts w:asciiTheme="majorHAnsi" w:hAnsiTheme="majorHAnsi"/>
          <w:i/>
        </w:rPr>
        <w:t>Maria Mascia</w:t>
      </w:r>
    </w:p>
    <w:p w:rsidR="0023731F" w:rsidRPr="00A178AC" w:rsidRDefault="00207E19" w:rsidP="00207E1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it-IT"/>
        </w:rPr>
        <w:drawing>
          <wp:inline distT="0" distB="0" distL="0" distR="0" wp14:anchorId="25833A07" wp14:editId="3655E833">
            <wp:extent cx="1181100" cy="1017599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93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18B9B536" wp14:editId="27699370">
            <wp:simplePos x="0" y="0"/>
            <wp:positionH relativeFrom="column">
              <wp:posOffset>2572385</wp:posOffset>
            </wp:positionH>
            <wp:positionV relativeFrom="paragraph">
              <wp:posOffset>8957945</wp:posOffset>
            </wp:positionV>
            <wp:extent cx="1311910" cy="1275715"/>
            <wp:effectExtent l="0" t="0" r="2540" b="635"/>
            <wp:wrapNone/>
            <wp:docPr id="4" name="Immagine 4" descr="SCAN0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AN001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1849F9B8" wp14:editId="68FDCD00">
            <wp:simplePos x="0" y="0"/>
            <wp:positionH relativeFrom="column">
              <wp:posOffset>2572385</wp:posOffset>
            </wp:positionH>
            <wp:positionV relativeFrom="paragraph">
              <wp:posOffset>8957945</wp:posOffset>
            </wp:positionV>
            <wp:extent cx="1311910" cy="1275715"/>
            <wp:effectExtent l="0" t="0" r="2540" b="635"/>
            <wp:wrapNone/>
            <wp:docPr id="3" name="Immagine 3" descr="SCAN0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1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6BAE6BF0" wp14:editId="1D6FC875">
            <wp:simplePos x="0" y="0"/>
            <wp:positionH relativeFrom="column">
              <wp:posOffset>2572385</wp:posOffset>
            </wp:positionH>
            <wp:positionV relativeFrom="paragraph">
              <wp:posOffset>8957945</wp:posOffset>
            </wp:positionV>
            <wp:extent cx="1311910" cy="1275715"/>
            <wp:effectExtent l="0" t="0" r="2540" b="635"/>
            <wp:wrapNone/>
            <wp:docPr id="2" name="Immagine 2" descr="SCAN0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1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6469E421" wp14:editId="4D61A599">
            <wp:simplePos x="0" y="0"/>
            <wp:positionH relativeFrom="column">
              <wp:posOffset>2572385</wp:posOffset>
            </wp:positionH>
            <wp:positionV relativeFrom="paragraph">
              <wp:posOffset>8957945</wp:posOffset>
            </wp:positionV>
            <wp:extent cx="1311910" cy="1275715"/>
            <wp:effectExtent l="0" t="0" r="2540" b="635"/>
            <wp:wrapNone/>
            <wp:docPr id="6" name="Immagine 6" descr="SCAN0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AN001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361AAFBB" wp14:editId="38D467E9">
            <wp:simplePos x="0" y="0"/>
            <wp:positionH relativeFrom="column">
              <wp:posOffset>2572385</wp:posOffset>
            </wp:positionH>
            <wp:positionV relativeFrom="paragraph">
              <wp:posOffset>8957945</wp:posOffset>
            </wp:positionV>
            <wp:extent cx="1311910" cy="1275715"/>
            <wp:effectExtent l="0" t="0" r="2540" b="635"/>
            <wp:wrapNone/>
            <wp:docPr id="5" name="Immagine 5" descr="SCAN0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AN001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23731F" w:rsidRPr="00A178AC" w:rsidRDefault="0023731F" w:rsidP="00417F25">
      <w:pPr>
        <w:jc w:val="both"/>
        <w:rPr>
          <w:rFonts w:asciiTheme="majorHAnsi" w:hAnsiTheme="majorHAnsi"/>
        </w:rPr>
      </w:pPr>
    </w:p>
    <w:sectPr w:rsidR="0023731F" w:rsidRPr="00A17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BFC8"/>
      </v:shape>
    </w:pict>
  </w:numPicBullet>
  <w:abstractNum w:abstractNumId="0">
    <w:nsid w:val="036B43EE"/>
    <w:multiLevelType w:val="multilevel"/>
    <w:tmpl w:val="8DAA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662D8"/>
    <w:multiLevelType w:val="hybridMultilevel"/>
    <w:tmpl w:val="3EE8AA50"/>
    <w:lvl w:ilvl="0" w:tplc="7DDCFDE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25FC8"/>
    <w:multiLevelType w:val="hybridMultilevel"/>
    <w:tmpl w:val="68920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F7F70"/>
    <w:multiLevelType w:val="hybridMultilevel"/>
    <w:tmpl w:val="642EC57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A2BB8"/>
    <w:multiLevelType w:val="multilevel"/>
    <w:tmpl w:val="B592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61BF7"/>
    <w:multiLevelType w:val="multilevel"/>
    <w:tmpl w:val="F7EA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DD3FD3"/>
    <w:multiLevelType w:val="multilevel"/>
    <w:tmpl w:val="989E92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633263"/>
    <w:multiLevelType w:val="multilevel"/>
    <w:tmpl w:val="6C78B48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64EC5"/>
    <w:multiLevelType w:val="multilevel"/>
    <w:tmpl w:val="315E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B0098A"/>
    <w:multiLevelType w:val="hybridMultilevel"/>
    <w:tmpl w:val="C4E2B69A"/>
    <w:lvl w:ilvl="0" w:tplc="C3C640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C0B77"/>
    <w:multiLevelType w:val="hybridMultilevel"/>
    <w:tmpl w:val="5C5A84A8"/>
    <w:lvl w:ilvl="0" w:tplc="2CD8E0C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0406B5"/>
    <w:multiLevelType w:val="hybridMultilevel"/>
    <w:tmpl w:val="F9EA251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63"/>
    <w:rsid w:val="001229F9"/>
    <w:rsid w:val="00135832"/>
    <w:rsid w:val="0019322B"/>
    <w:rsid w:val="001A71BE"/>
    <w:rsid w:val="00207E19"/>
    <w:rsid w:val="002238D2"/>
    <w:rsid w:val="0023731F"/>
    <w:rsid w:val="00314324"/>
    <w:rsid w:val="00347FCD"/>
    <w:rsid w:val="003E7863"/>
    <w:rsid w:val="003F743D"/>
    <w:rsid w:val="00417F25"/>
    <w:rsid w:val="0043371F"/>
    <w:rsid w:val="00475F1E"/>
    <w:rsid w:val="005451EC"/>
    <w:rsid w:val="00561731"/>
    <w:rsid w:val="0056745E"/>
    <w:rsid w:val="005F17FA"/>
    <w:rsid w:val="006C58B3"/>
    <w:rsid w:val="008D341A"/>
    <w:rsid w:val="008E1F28"/>
    <w:rsid w:val="009C4934"/>
    <w:rsid w:val="00A178AC"/>
    <w:rsid w:val="00A20A5D"/>
    <w:rsid w:val="00A35CB5"/>
    <w:rsid w:val="00A4561A"/>
    <w:rsid w:val="00A96AF8"/>
    <w:rsid w:val="00BB6DA7"/>
    <w:rsid w:val="00BD4661"/>
    <w:rsid w:val="00C31AC5"/>
    <w:rsid w:val="00D3264B"/>
    <w:rsid w:val="00D63F2B"/>
    <w:rsid w:val="00E15BED"/>
    <w:rsid w:val="00F9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9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63F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D63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F2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63F2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63F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A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71BE"/>
    <w:rPr>
      <w:b/>
      <w:bCs/>
    </w:rPr>
  </w:style>
  <w:style w:type="table" w:styleId="Grigliatabella">
    <w:name w:val="Table Grid"/>
    <w:basedOn w:val="Tabellanormale"/>
    <w:uiPriority w:val="59"/>
    <w:rsid w:val="00A17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6745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74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63F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D63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F2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63F2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63F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A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71BE"/>
    <w:rPr>
      <w:b/>
      <w:bCs/>
    </w:rPr>
  </w:style>
  <w:style w:type="table" w:styleId="Grigliatabella">
    <w:name w:val="Table Grid"/>
    <w:basedOn w:val="Tabellanormale"/>
    <w:uiPriority w:val="59"/>
    <w:rsid w:val="00A17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6745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74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7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22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4669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15" w:color="FFFFFF"/>
                                        <w:left w:val="single" w:sz="6" w:space="15" w:color="FFFFFF"/>
                                        <w:bottom w:val="single" w:sz="6" w:space="15" w:color="FFFFFF"/>
                                        <w:right w:val="single" w:sz="6" w:space="15" w:color="FFFFFF"/>
                                      </w:divBdr>
                                      <w:divsChild>
                                        <w:div w:id="195528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801645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08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15" w:color="F5E5D5"/>
                                        <w:right w:val="none" w:sz="0" w:space="0" w:color="auto"/>
                                      </w:divBdr>
                                      <w:divsChild>
                                        <w:div w:id="5212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14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27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902117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585767">
                                      <w:marLeft w:val="-450"/>
                                      <w:marRight w:val="-45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3579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1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9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202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341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37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78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120607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6893">
                                      <w:marLeft w:val="-450"/>
                                      <w:marRight w:val="-450"/>
                                      <w:marTop w:val="0"/>
                                      <w:marBottom w:val="450"/>
                                      <w:divBdr>
                                        <w:top w:val="single" w:sz="6" w:space="11" w:color="0F0F0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52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5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18352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69586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7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44542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0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202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84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49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9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68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100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463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4099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801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56501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44856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43490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513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30546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unionecomunibarigadu.it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://www.inps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087D-59F6-46E2-B9D2-10D0E2FA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sociale</dc:creator>
  <cp:lastModifiedBy>assistente sociale</cp:lastModifiedBy>
  <cp:revision>7</cp:revision>
  <dcterms:created xsi:type="dcterms:W3CDTF">2022-01-11T10:31:00Z</dcterms:created>
  <dcterms:modified xsi:type="dcterms:W3CDTF">2022-01-11T17:07:00Z</dcterms:modified>
</cp:coreProperties>
</file>